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5A524056" w:rsidR="005E1D0B" w:rsidRPr="0032055F" w:rsidRDefault="00CC48F5" w:rsidP="003D7A6E">
            <w:pPr>
              <w:ind w:left="-101" w:right="-851"/>
              <w:jc w:val="both"/>
              <w:rPr>
                <w:lang w:val="en-US"/>
              </w:rPr>
            </w:pPr>
            <w:r w:rsidRPr="00CC48F5">
              <w:rPr>
                <w:lang w:val="en-US"/>
              </w:rPr>
              <w:t>Amundi MSCI USA ESG Broad Transition UCITS ETF</w:t>
            </w:r>
          </w:p>
        </w:tc>
        <w:tc>
          <w:tcPr>
            <w:tcW w:w="5103" w:type="dxa"/>
          </w:tcPr>
          <w:p w14:paraId="518E4A1E" w14:textId="77777777" w:rsidR="007528F2" w:rsidRDefault="001A1570" w:rsidP="003F0A0C">
            <w:pPr>
              <w:ind w:right="-851"/>
              <w:rPr>
                <w:lang w:val="it-IT"/>
              </w:rPr>
            </w:pPr>
            <w:r w:rsidRPr="007528F2">
              <w:rPr>
                <w:b/>
                <w:bCs/>
                <w:lang w:val="it-IT"/>
              </w:rPr>
              <w:t>Legal entity identifier</w:t>
            </w:r>
            <w:r w:rsidRPr="007528F2">
              <w:rPr>
                <w:lang w:val="it-IT"/>
              </w:rPr>
              <w:t xml:space="preserve">: </w:t>
            </w:r>
          </w:p>
          <w:p w14:paraId="449F9D0D" w14:textId="35383313" w:rsidR="005E1D0B" w:rsidRPr="007528F2" w:rsidRDefault="006B0A3C" w:rsidP="003F0A0C">
            <w:pPr>
              <w:ind w:right="-851"/>
              <w:rPr>
                <w:lang w:val="it-IT"/>
              </w:rPr>
            </w:pPr>
            <w:r w:rsidRPr="006B0A3C">
              <w:rPr>
                <w:lang w:val="it-IT"/>
              </w:rPr>
              <w:t>2138002CGVGAHWUZHL45</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22DF48D9" w14:textId="77777777" w:rsidR="00361902" w:rsidRDefault="00361902" w:rsidP="00361902">
      <w:pPr>
        <w:jc w:val="both"/>
        <w:rPr>
          <w:lang w:val="en-US"/>
        </w:rPr>
      </w:pPr>
      <w:r w:rsidRPr="00361902">
        <w:rPr>
          <w:lang w:val="en-US"/>
        </w:rPr>
        <w:t>The Sub-Fund seeks to promote the following environmental and social characteristics:</w:t>
      </w:r>
    </w:p>
    <w:p w14:paraId="013F7371" w14:textId="77777777" w:rsidR="00361902" w:rsidRDefault="00361902" w:rsidP="00361902">
      <w:pPr>
        <w:jc w:val="both"/>
        <w:rPr>
          <w:lang w:val="en-US"/>
        </w:rPr>
      </w:pPr>
      <w:r w:rsidRPr="00361902">
        <w:rPr>
          <w:lang w:val="en-US"/>
        </w:rPr>
        <w:t>1) reduction of carbon emission intensity; and</w:t>
      </w:r>
    </w:p>
    <w:p w14:paraId="1E21B48B" w14:textId="77777777" w:rsidR="00361902" w:rsidRDefault="00361902" w:rsidP="00361902">
      <w:pPr>
        <w:jc w:val="both"/>
        <w:rPr>
          <w:lang w:val="en-US"/>
        </w:rPr>
      </w:pPr>
      <w:r w:rsidRPr="00361902">
        <w:rPr>
          <w:lang w:val="en-US"/>
        </w:rPr>
        <w:t>2) reduction in the production of controversial and nuclear weapons; and</w:t>
      </w:r>
    </w:p>
    <w:p w14:paraId="428100D1" w14:textId="77777777" w:rsidR="00361902" w:rsidRDefault="00361902" w:rsidP="00361902">
      <w:pPr>
        <w:jc w:val="both"/>
        <w:rPr>
          <w:lang w:val="en-US"/>
        </w:rPr>
      </w:pPr>
      <w:r w:rsidRPr="00361902">
        <w:rPr>
          <w:lang w:val="en-US"/>
        </w:rPr>
        <w:t>3) reduction in environmental harm derived from oil sands, thermal coal and unconventional oil and gas business activities</w:t>
      </w:r>
    </w:p>
    <w:p w14:paraId="75713AE5" w14:textId="77777777" w:rsidR="00361902" w:rsidRDefault="00361902" w:rsidP="00361902">
      <w:pPr>
        <w:jc w:val="both"/>
        <w:rPr>
          <w:lang w:val="en-US"/>
        </w:rPr>
      </w:pPr>
      <w:r w:rsidRPr="00361902">
        <w:rPr>
          <w:lang w:val="en-US"/>
        </w:rPr>
        <w:t>The Sub-Fund promotes these environmental and social characteristics through replicating an Index that is meeting the minimum standards for EU Climate Transition Benchmarks ("EU CTBs") under Regulation (EU) 2019/2089 amending Regulation (EU) 2016/1011 (the "Regulation"). The Regulation proposes the definitions of minimum standards for the methodology of any ‘EU Climate Transition’ benchmark indices that would be aligned with the objectives of the Paris Agreement. The Index is selected and weighted to enhance its environmental and social sustainability by applying a range of environmental and social filters to the constituents of the Parent Index to meet environmenta</w:t>
      </w:r>
      <w:r>
        <w:rPr>
          <w:lang w:val="en-US"/>
        </w:rPr>
        <w:t xml:space="preserve">l </w:t>
      </w:r>
      <w:r w:rsidRPr="00361902">
        <w:rPr>
          <w:lang w:val="en-US"/>
        </w:rPr>
        <w:t>targets and reduce carbon footprint, compared to the Parent Index as described in detail below. The Index methodology aligns with certain criteria such as:</w:t>
      </w:r>
    </w:p>
    <w:p w14:paraId="25DD607C" w14:textId="77777777" w:rsidR="00361902" w:rsidRDefault="00361902" w:rsidP="00361902">
      <w:pPr>
        <w:jc w:val="both"/>
        <w:rPr>
          <w:lang w:val="en-US"/>
        </w:rPr>
      </w:pPr>
      <w:r w:rsidRPr="00361902">
        <w:rPr>
          <w:lang w:val="en-US"/>
        </w:rPr>
        <w:t>1. A minimum reduction in Greenhouse Gas (GHG) intensity relative to Parent Index of 30%.</w:t>
      </w:r>
    </w:p>
    <w:p w14:paraId="0AA9A08E" w14:textId="77777777" w:rsidR="004F6C6A" w:rsidRDefault="00361902" w:rsidP="00361902">
      <w:pPr>
        <w:jc w:val="both"/>
        <w:rPr>
          <w:lang w:val="en-US"/>
        </w:rPr>
      </w:pPr>
      <w:r w:rsidRPr="00361902">
        <w:rPr>
          <w:lang w:val="en-US"/>
        </w:rPr>
        <w:t>2. A minimum self-decarbonization rate of GHG emissions intensity in accordance with the trajectory implied by Intergovernmental Panel on Climate Change’s (IPCC) most ambitious 1.5ºC scenario, equating to at least 7% GHG intensity reduction on average per annum.</w:t>
      </w:r>
    </w:p>
    <w:p w14:paraId="548BECB2" w14:textId="331368D6" w:rsidR="0063401F" w:rsidRDefault="00361902" w:rsidP="00361902">
      <w:pPr>
        <w:jc w:val="both"/>
        <w:rPr>
          <w:lang w:val="en-US"/>
        </w:rPr>
      </w:pPr>
      <w:r w:rsidRPr="00361902">
        <w:rPr>
          <w:lang w:val="en-US"/>
        </w:rPr>
        <w:t>Please see below which fully describes the criteria of the Index methodology.</w:t>
      </w:r>
    </w:p>
    <w:p w14:paraId="4E4230D7" w14:textId="77777777" w:rsidR="00BB5B00" w:rsidRPr="00A3536B" w:rsidRDefault="00BB5B00" w:rsidP="00D456FB">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6E38918C" w14:textId="3EE72EDA" w:rsidR="00AA6B2D" w:rsidRDefault="00AA6B2D" w:rsidP="00EC440C">
      <w:pPr>
        <w:jc w:val="both"/>
        <w:rPr>
          <w:lang w:val="en-US"/>
        </w:rPr>
      </w:pPr>
      <w:r w:rsidRPr="00AA6B2D">
        <w:rPr>
          <w:lang w:val="en-US"/>
        </w:rPr>
        <w:lastRenderedPageBreak/>
        <w:t xml:space="preserve">To track the performance of </w:t>
      </w:r>
      <w:r w:rsidR="00AC6DFB" w:rsidRPr="00AC6DFB">
        <w:rPr>
          <w:lang w:val="en-US"/>
        </w:rPr>
        <w:t>MSCI USA ESG Broad CTB Select Index (the "Index")</w:t>
      </w:r>
      <w:r w:rsidRPr="00AA6B2D">
        <w:rPr>
          <w:lang w:val="en-US"/>
        </w:rPr>
        <w:t>.</w:t>
      </w:r>
    </w:p>
    <w:p w14:paraId="4CD1F1A4" w14:textId="68CBD1B2" w:rsidR="00AA6B2D" w:rsidRDefault="00AA6B2D" w:rsidP="00EC440C">
      <w:pPr>
        <w:jc w:val="both"/>
        <w:rPr>
          <w:lang w:val="en-US"/>
        </w:rPr>
      </w:pPr>
      <w:r w:rsidRPr="00AA6B2D">
        <w:rPr>
          <w:lang w:val="en-US"/>
        </w:rPr>
        <w:t>The Index is an equity index based on the Parent Index which is representative of the large and mid-cap segments of the US market. The Index excludes companies whose products have negative social or environmental impacts, while overweighting companies with strong ESG Score. Additionally, the Index aims to represent the performance of a strategy that reweights securities based upon the opportunities and risks associated with the climate transition to meet the EU CTB regulation minimum requirements. The Index is a net total return index, meaning that dividends net of tax paid by the index constituents are included in the Index return.</w:t>
      </w:r>
    </w:p>
    <w:p w14:paraId="0AED00F6" w14:textId="77777777" w:rsidR="00AA6B2D" w:rsidRDefault="00AA6B2D" w:rsidP="00EC440C">
      <w:pPr>
        <w:jc w:val="both"/>
        <w:rPr>
          <w:lang w:val="en-US"/>
        </w:rPr>
      </w:pPr>
      <w:r w:rsidRPr="00AA6B2D">
        <w:rPr>
          <w:lang w:val="en-US"/>
        </w:rPr>
        <w:t>The Sub-Fund is a passively managed ETF. Its investment strategy is to replicate the Index while minimizing the related tracking error.</w:t>
      </w:r>
    </w:p>
    <w:p w14:paraId="5F85EF50" w14:textId="77777777" w:rsidR="00AA6B2D" w:rsidRDefault="00AA6B2D" w:rsidP="00EC440C">
      <w:pPr>
        <w:jc w:val="both"/>
        <w:rPr>
          <w:lang w:val="en-US"/>
        </w:rPr>
      </w:pPr>
      <w:r w:rsidRPr="00AA6B2D">
        <w:rPr>
          <w:lang w:val="en-US"/>
        </w:rPr>
        <w:t>The Index is constructed by applying a combination of values based exclusions and an optimization process to increase the ESG score compared to MSCI USA Index and to meet the EU CTB regulation minimum requirements while targeting a similar risk profile to the Parent Index.</w:t>
      </w:r>
    </w:p>
    <w:p w14:paraId="3551556E" w14:textId="77777777" w:rsidR="00AA6B2D" w:rsidRDefault="00AA6B2D" w:rsidP="00EC440C">
      <w:pPr>
        <w:jc w:val="both"/>
        <w:rPr>
          <w:lang w:val="en-US"/>
        </w:rPr>
      </w:pPr>
      <w:r w:rsidRPr="00AA6B2D">
        <w:rPr>
          <w:lang w:val="en-US"/>
        </w:rPr>
        <w:t>First, securities of companies involved in business activities as per MSCI ESG Research* including nuclear weapons, tobacco, controversial weapons, oil sands, thermal coal and/or unconventional oil and gas including arctic drilling are excluded, together with companies rated as 'Red Flag' MSCI ESG controversies** which indicate that a company is directly involved in one or more very severe controversies that has not yet been remediated and ’Environmental Orange Flag' controversies which indicates that a company has settled either most of the stakeholders’ concerns related to its involvement to a very severe controversy linked to environmental issues or continues to be involved in a very severe controversy linked to environmental issues related to its business partners or directly involved in one or more severe cases.</w:t>
      </w:r>
    </w:p>
    <w:p w14:paraId="2041ABA6" w14:textId="77777777" w:rsidR="00AA6B2D" w:rsidRDefault="00AA6B2D" w:rsidP="00EC440C">
      <w:pPr>
        <w:jc w:val="both"/>
        <w:rPr>
          <w:lang w:val="en-US"/>
        </w:rPr>
      </w:pPr>
      <w:r w:rsidRPr="00AA6B2D">
        <w:rPr>
          <w:lang w:val="en-US"/>
        </w:rPr>
        <w:t>Second, MSCI applies on the remaining investment universe an optimization aimed at maximizing the average MSCI ESG Score*** of this universe while complying with the following constraints:</w:t>
      </w:r>
    </w:p>
    <w:p w14:paraId="7BF85863" w14:textId="23FF9D48" w:rsidR="00AA6B2D" w:rsidRDefault="00AA6B2D" w:rsidP="00EC440C">
      <w:pPr>
        <w:jc w:val="both"/>
        <w:rPr>
          <w:lang w:val="en-US"/>
        </w:rPr>
      </w:pPr>
      <w:r w:rsidRPr="00AA6B2D">
        <w:rPr>
          <w:lang w:val="en-US"/>
        </w:rPr>
        <w:t>1. Compliance with the EU CTB regulation minimum requirements on carbon footprint reduction:</w:t>
      </w:r>
    </w:p>
    <w:p w14:paraId="258552F6" w14:textId="77777777" w:rsidR="00AA6B2D" w:rsidRDefault="00AA6B2D" w:rsidP="00AA6B2D">
      <w:pPr>
        <w:jc w:val="both"/>
        <w:rPr>
          <w:lang w:val="en-US"/>
        </w:rPr>
      </w:pPr>
      <w:r w:rsidRPr="00AA6B2D">
        <w:rPr>
          <w:lang w:val="en-US"/>
        </w:rPr>
        <w:t>-Carbon footprint reduction of 30% compared to the Parent Index</w:t>
      </w:r>
    </w:p>
    <w:p w14:paraId="334BD98F" w14:textId="77777777" w:rsidR="00AA6B2D" w:rsidRDefault="00AA6B2D" w:rsidP="00AA6B2D">
      <w:pPr>
        <w:jc w:val="both"/>
        <w:rPr>
          <w:lang w:val="en-US"/>
        </w:rPr>
      </w:pPr>
      <w:r w:rsidRPr="00AA6B2D">
        <w:rPr>
          <w:lang w:val="en-US"/>
        </w:rPr>
        <w:t>- Annual reduction of 7% of carbon footprint</w:t>
      </w:r>
    </w:p>
    <w:p w14:paraId="4EDC2DBE" w14:textId="77777777" w:rsidR="00AA6B2D" w:rsidRDefault="00AA6B2D" w:rsidP="00AA6B2D">
      <w:pPr>
        <w:jc w:val="both"/>
        <w:rPr>
          <w:lang w:val="en-US"/>
        </w:rPr>
      </w:pPr>
      <w:r w:rsidRPr="00AA6B2D">
        <w:rPr>
          <w:lang w:val="en-US"/>
        </w:rPr>
        <w:t>2. Minimum allocation to "High Climate Impact Sector" which reflects that in the Parent Index and will be as high as that in the Parent Index;</w:t>
      </w:r>
    </w:p>
    <w:p w14:paraId="1AED7DB6" w14:textId="77777777" w:rsidR="00AA6B2D" w:rsidRDefault="00AA6B2D" w:rsidP="00AA6B2D">
      <w:pPr>
        <w:jc w:val="both"/>
        <w:rPr>
          <w:lang w:val="en-US"/>
        </w:rPr>
      </w:pPr>
      <w:r w:rsidRPr="00AA6B2D">
        <w:rPr>
          <w:lang w:val="en-US"/>
        </w:rPr>
        <w:t>3. Targeting an ex ante tracking-error level of 0.75%.</w:t>
      </w:r>
    </w:p>
    <w:p w14:paraId="74F7F52C" w14:textId="77777777" w:rsidR="00AA6B2D" w:rsidRDefault="00AA6B2D" w:rsidP="00AA6B2D">
      <w:pPr>
        <w:jc w:val="both"/>
        <w:rPr>
          <w:lang w:val="en-US"/>
        </w:rPr>
      </w:pPr>
      <w:r w:rsidRPr="00AA6B2D">
        <w:rPr>
          <w:lang w:val="en-US"/>
        </w:rPr>
        <w:t>In the case where the three constraints are not compatible, MSCI will relax the constraints and notably increase the ex-ante tracking-error level by 0.1% incremental steps.</w:t>
      </w:r>
    </w:p>
    <w:p w14:paraId="32162125" w14:textId="77777777" w:rsidR="00AA6B2D" w:rsidRDefault="00AA6B2D" w:rsidP="00AA6B2D">
      <w:pPr>
        <w:jc w:val="both"/>
        <w:rPr>
          <w:lang w:val="en-US"/>
        </w:rPr>
      </w:pPr>
      <w:r w:rsidRPr="00AA6B2D">
        <w:rPr>
          <w:lang w:val="en-US"/>
        </w:rPr>
        <w:t>The weight of each security in the Index is determined by the optimization process so as to comply with the above mentioned constraints.</w:t>
      </w:r>
    </w:p>
    <w:p w14:paraId="551486F7" w14:textId="77777777" w:rsidR="00AA6B2D" w:rsidRDefault="00AA6B2D" w:rsidP="00AA6B2D">
      <w:pPr>
        <w:jc w:val="both"/>
        <w:rPr>
          <w:lang w:val="en-US"/>
        </w:rPr>
      </w:pPr>
      <w:r w:rsidRPr="00AA6B2D">
        <w:rPr>
          <w:lang w:val="en-US"/>
        </w:rPr>
        <w:t>The maximum weight of any security in the Index is set as the weight of this security in the Parent Index + 2%.</w:t>
      </w:r>
    </w:p>
    <w:p w14:paraId="228D472E" w14:textId="77777777" w:rsidR="00AA6B2D" w:rsidRDefault="00AA6B2D" w:rsidP="00AA6B2D">
      <w:pPr>
        <w:jc w:val="both"/>
        <w:rPr>
          <w:lang w:val="en-US"/>
        </w:rPr>
      </w:pPr>
      <w:r w:rsidRPr="00AA6B2D">
        <w:rPr>
          <w:lang w:val="en-US"/>
        </w:rPr>
        <w:t>*For more information on the business activities and the screen, please refer to the Index methodology available on msci.com.</w:t>
      </w:r>
    </w:p>
    <w:p w14:paraId="43560060" w14:textId="77777777" w:rsidR="00AA6B2D" w:rsidRDefault="00AA6B2D" w:rsidP="00AA6B2D">
      <w:pPr>
        <w:jc w:val="both"/>
        <w:rPr>
          <w:lang w:val="en-US"/>
        </w:rPr>
      </w:pPr>
      <w:r w:rsidRPr="00AA6B2D">
        <w:rPr>
          <w:lang w:val="en-US"/>
        </w:rPr>
        <w:t xml:space="preserve">**MSCI ESG Controversies provides assessments of controversies concerning the negative environmental, social, and/or governance impact of company operations, products and services. </w:t>
      </w:r>
    </w:p>
    <w:p w14:paraId="61850350" w14:textId="77777777" w:rsidR="00AA6B2D" w:rsidRDefault="00AA6B2D" w:rsidP="00AA6B2D">
      <w:pPr>
        <w:jc w:val="both"/>
        <w:rPr>
          <w:lang w:val="en-US"/>
        </w:rPr>
      </w:pPr>
      <w:r w:rsidRPr="00AA6B2D">
        <w:rPr>
          <w:lang w:val="en-US"/>
        </w:rPr>
        <w:lastRenderedPageBreak/>
        <w:t>***MSCI ESG Ratings provides research, analysis and ratings of how well companies manage environmental, social and governance risks and opportunities.</w:t>
      </w:r>
    </w:p>
    <w:p w14:paraId="5D738C0A" w14:textId="77777777" w:rsidR="00AA6B2D" w:rsidRDefault="00AA6B2D" w:rsidP="00AA6B2D">
      <w:pPr>
        <w:jc w:val="both"/>
        <w:rPr>
          <w:lang w:val="en-US"/>
        </w:rPr>
      </w:pPr>
      <w:r w:rsidRPr="00AA6B2D">
        <w:rPr>
          <w:lang w:val="en-US"/>
        </w:rPr>
        <w:t>Additionally, the following constraints are imposed to meet diversification objectives: constituent active weight, minimum constituent weight; security weight as a multiple of its weight in the Parent Index, active sector weights and active country weights.</w:t>
      </w:r>
    </w:p>
    <w:p w14:paraId="354F35B9" w14:textId="17407D56" w:rsidR="00AA6B2D" w:rsidRPr="00AA6B2D" w:rsidRDefault="00AA6B2D" w:rsidP="00AA6B2D">
      <w:pPr>
        <w:jc w:val="both"/>
        <w:rPr>
          <w:lang w:val="en-US"/>
        </w:rPr>
      </w:pPr>
      <w:r w:rsidRPr="00AA6B2D">
        <w:rPr>
          <w:lang w:val="en-US"/>
        </w:rPr>
        <w:t>The strategy is also relying on systematic exclusions policies (normative and sectorials) as further described above and detailed in Amundi's Global Responsible Investment Policy (</w:t>
      </w:r>
      <w:hyperlink r:id="rId7" w:history="1">
        <w:r w:rsidRPr="00844198">
          <w:rPr>
            <w:rStyle w:val="Lienhypertexte"/>
            <w:lang w:val="en-US"/>
          </w:rPr>
          <w:t>https://about.amundi.com/esg-documentation</w:t>
        </w:r>
      </w:hyperlink>
      <w:r w:rsidRPr="00AA6B2D">
        <w:rPr>
          <w:lang w:val="en-US"/>
        </w:rPr>
        <w:t>).</w:t>
      </w:r>
    </w:p>
    <w:p w14:paraId="726B320E" w14:textId="6FCF085B" w:rsidR="00AA6B2D" w:rsidRDefault="00AA6B2D" w:rsidP="00AA6B2D">
      <w:pPr>
        <w:jc w:val="both"/>
        <w:rPr>
          <w:lang w:val="en-US"/>
        </w:rPr>
      </w:pPr>
      <w:r w:rsidRPr="00AA6B2D">
        <w:rPr>
          <w:lang w:val="en-US"/>
        </w:rPr>
        <w:t>More information on the exclusions applied by the Index pursuant to the EU Climate Transition Benchmark is available in the section “Guidelines on funds’ names using ESG or sustainability-related terms” in the Prospectus.</w:t>
      </w:r>
    </w:p>
    <w:p w14:paraId="56D7B633" w14:textId="5EADCE58" w:rsidR="00F03360" w:rsidRPr="00F03360" w:rsidRDefault="001A1570" w:rsidP="00EC440C">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Default="001478C5" w:rsidP="001478C5">
      <w:pPr>
        <w:jc w:val="both"/>
        <w:rPr>
          <w:lang w:val="en-US"/>
        </w:rPr>
      </w:pPr>
    </w:p>
    <w:p w14:paraId="7C608F29" w14:textId="77777777" w:rsidR="00967D34" w:rsidRDefault="00967D34" w:rsidP="001478C5">
      <w:pPr>
        <w:jc w:val="both"/>
        <w:rPr>
          <w:lang w:val="en-US"/>
        </w:rPr>
      </w:pPr>
      <w:r w:rsidRPr="00967D34">
        <w:rPr>
          <w:lang w:val="en-US"/>
        </w:rPr>
        <w:t>90% of the Sub-Fund’s securities and instruments will meet the promoted environmental or social characteristics in accordance with the binding elements of the Index methodology</w:t>
      </w:r>
      <w:r>
        <w:rPr>
          <w:lang w:val="en-US"/>
        </w:rPr>
        <w:t>.</w:t>
      </w:r>
    </w:p>
    <w:p w14:paraId="6D5034CD" w14:textId="71950152" w:rsidR="00967D34" w:rsidRPr="00C2259E" w:rsidRDefault="00967D34" w:rsidP="001478C5">
      <w:pPr>
        <w:jc w:val="both"/>
        <w:rPr>
          <w:lang w:val="en-US"/>
        </w:rPr>
      </w:pPr>
      <w:r w:rsidRPr="00967D34">
        <w:rPr>
          <w:lang w:val="en-US"/>
        </w:rPr>
        <w:t>Furthermore, the Sub-Fund commits to have a minimum of 20% of Sustainable Investments as per the below chart.</w:t>
      </w:r>
    </w:p>
    <w:p w14:paraId="07FB3C67" w14:textId="77777777" w:rsidR="00A00CE4" w:rsidRPr="00C2259E" w:rsidRDefault="00A00CE4" w:rsidP="008F0E0A">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centralised by the Responsible Investment Business line, which is responsible for controlling the quality of the inputs and processed ESG outputs. </w:t>
      </w:r>
      <w:r w:rsidRPr="00F03360">
        <w:rPr>
          <w:lang w:val="en-US"/>
        </w:rPr>
        <w:lastRenderedPageBreak/>
        <w:t>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 xml:space="preserve">Amundi's ESG scores are built using Amundi's ESG analysis framework and scoring methodology. We source data from the following sources for ESG scores:  Moody, ISS-Oekem,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lastRenderedPageBreak/>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normalised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ESG scores utilize data derived from external data providers, internal ESG assessment/research conducted by Amundi, or through a regulated third party recognised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Our methodology limitations are by construction linked to use of ESG data. The ESG data landscape is currently being standardised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lastRenderedPageBreak/>
        <w:t>between 2 providers. After this review the analyst can override a score from the calculated score which is validated by the management of the team and is documented by a note stored in Amundi database iPortal.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31ABF7B7" w14:textId="4B1B10F1" w:rsidR="00F53E6F" w:rsidRDefault="00F31702" w:rsidP="0086756E">
      <w:pPr>
        <w:jc w:val="both"/>
        <w:rPr>
          <w:lang w:val="en-US"/>
        </w:rPr>
      </w:pPr>
      <w:r w:rsidRPr="00F31702">
        <w:rPr>
          <w:lang w:val="en-US"/>
        </w:rPr>
        <w:t>The Index is an equity index based on the Parent Index which i</w:t>
      </w:r>
      <w:r w:rsidR="000607DB">
        <w:rPr>
          <w:lang w:val="en-US"/>
        </w:rPr>
        <w:t>s</w:t>
      </w:r>
      <w:r w:rsidRPr="00F31702">
        <w:rPr>
          <w:lang w:val="en-US"/>
        </w:rPr>
        <w:t xml:space="preserve"> representative of the large and mid-cap segments of the US market. The Index excludes companies whose products have negative social or environmental impacts, while overweighting companies with strong ESG Score. Additionally, the Index aims to represent the performance of a strategy that reweights securities based upon the opportunities and risks associated with the climate transition to meet the EU CTB regulation minimum requirements.</w:t>
      </w:r>
    </w:p>
    <w:p w14:paraId="08F3307B" w14:textId="70C06643" w:rsidR="008D4DC6" w:rsidRPr="00ED6186" w:rsidRDefault="00F31702" w:rsidP="0086756E">
      <w:pPr>
        <w:jc w:val="both"/>
        <w:rPr>
          <w:lang w:val="en-US"/>
        </w:rPr>
      </w:pPr>
      <w:r w:rsidRPr="00F31702">
        <w:rPr>
          <w:lang w:val="en-US"/>
        </w:rPr>
        <w:t xml:space="preserve">Additional information on the Index can be found at </w:t>
      </w:r>
      <w:hyperlink r:id="rId8" w:history="1">
        <w:r w:rsidR="008D4DC6" w:rsidRPr="00844198">
          <w:rPr>
            <w:rStyle w:val="Lienhypertexte"/>
            <w:lang w:val="en-US"/>
          </w:rPr>
          <w:t>https://www.msci.com/index-methodology</w:t>
        </w:r>
      </w:hyperlink>
    </w:p>
    <w:sectPr w:rsidR="008D4DC6" w:rsidRPr="00ED61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0462"/>
    <w:rsid w:val="0000716B"/>
    <w:rsid w:val="00010267"/>
    <w:rsid w:val="00011382"/>
    <w:rsid w:val="00012882"/>
    <w:rsid w:val="00012AD8"/>
    <w:rsid w:val="00012DD9"/>
    <w:rsid w:val="00013545"/>
    <w:rsid w:val="00015157"/>
    <w:rsid w:val="00017E54"/>
    <w:rsid w:val="000209B0"/>
    <w:rsid w:val="000217E5"/>
    <w:rsid w:val="0002380B"/>
    <w:rsid w:val="00023BCF"/>
    <w:rsid w:val="00025D8E"/>
    <w:rsid w:val="00034561"/>
    <w:rsid w:val="00035437"/>
    <w:rsid w:val="00035B4E"/>
    <w:rsid w:val="000412A1"/>
    <w:rsid w:val="000427A2"/>
    <w:rsid w:val="00042D15"/>
    <w:rsid w:val="000435C2"/>
    <w:rsid w:val="00043683"/>
    <w:rsid w:val="00045A1E"/>
    <w:rsid w:val="000468CC"/>
    <w:rsid w:val="000510CF"/>
    <w:rsid w:val="00052AC6"/>
    <w:rsid w:val="000607DB"/>
    <w:rsid w:val="0006502E"/>
    <w:rsid w:val="00077199"/>
    <w:rsid w:val="000861DE"/>
    <w:rsid w:val="00090EFD"/>
    <w:rsid w:val="00091926"/>
    <w:rsid w:val="00091FFF"/>
    <w:rsid w:val="000975C6"/>
    <w:rsid w:val="000A19B1"/>
    <w:rsid w:val="000A4432"/>
    <w:rsid w:val="000B04F7"/>
    <w:rsid w:val="000B1BA8"/>
    <w:rsid w:val="000B1BC1"/>
    <w:rsid w:val="000B2D37"/>
    <w:rsid w:val="000C23E1"/>
    <w:rsid w:val="000C26DD"/>
    <w:rsid w:val="000C37EA"/>
    <w:rsid w:val="000C79AC"/>
    <w:rsid w:val="000D1316"/>
    <w:rsid w:val="000D27F4"/>
    <w:rsid w:val="000D6298"/>
    <w:rsid w:val="000E0EC8"/>
    <w:rsid w:val="000E3C3A"/>
    <w:rsid w:val="000F06B2"/>
    <w:rsid w:val="000F1F78"/>
    <w:rsid w:val="000F43D7"/>
    <w:rsid w:val="000F6CC2"/>
    <w:rsid w:val="001027ED"/>
    <w:rsid w:val="00103686"/>
    <w:rsid w:val="00104730"/>
    <w:rsid w:val="001055FC"/>
    <w:rsid w:val="00106D5A"/>
    <w:rsid w:val="001100F0"/>
    <w:rsid w:val="00110BDC"/>
    <w:rsid w:val="00111B7E"/>
    <w:rsid w:val="00115D57"/>
    <w:rsid w:val="00120226"/>
    <w:rsid w:val="001217EF"/>
    <w:rsid w:val="0012542D"/>
    <w:rsid w:val="001256AE"/>
    <w:rsid w:val="00126748"/>
    <w:rsid w:val="00127624"/>
    <w:rsid w:val="00133C39"/>
    <w:rsid w:val="001346F6"/>
    <w:rsid w:val="00136F7A"/>
    <w:rsid w:val="001407E3"/>
    <w:rsid w:val="00142994"/>
    <w:rsid w:val="001453D9"/>
    <w:rsid w:val="00146D05"/>
    <w:rsid w:val="001478C5"/>
    <w:rsid w:val="001510FB"/>
    <w:rsid w:val="00152FEA"/>
    <w:rsid w:val="001530A6"/>
    <w:rsid w:val="00155B30"/>
    <w:rsid w:val="00155F70"/>
    <w:rsid w:val="00160352"/>
    <w:rsid w:val="00162AB6"/>
    <w:rsid w:val="001661FE"/>
    <w:rsid w:val="001711EF"/>
    <w:rsid w:val="001720F2"/>
    <w:rsid w:val="00175C69"/>
    <w:rsid w:val="00180F8A"/>
    <w:rsid w:val="00186D18"/>
    <w:rsid w:val="0019141D"/>
    <w:rsid w:val="0019303F"/>
    <w:rsid w:val="00193E39"/>
    <w:rsid w:val="001A1570"/>
    <w:rsid w:val="001A4E68"/>
    <w:rsid w:val="001B13EB"/>
    <w:rsid w:val="001B1C2F"/>
    <w:rsid w:val="001B3E3C"/>
    <w:rsid w:val="001B5922"/>
    <w:rsid w:val="001B67B5"/>
    <w:rsid w:val="001C0B2D"/>
    <w:rsid w:val="001C2BD7"/>
    <w:rsid w:val="001D4BC9"/>
    <w:rsid w:val="001E08A0"/>
    <w:rsid w:val="001E17CE"/>
    <w:rsid w:val="001E28A2"/>
    <w:rsid w:val="001E5AB7"/>
    <w:rsid w:val="001E68C5"/>
    <w:rsid w:val="001F3B14"/>
    <w:rsid w:val="001F6AF1"/>
    <w:rsid w:val="001F7141"/>
    <w:rsid w:val="001F74CA"/>
    <w:rsid w:val="00203212"/>
    <w:rsid w:val="0021002E"/>
    <w:rsid w:val="0021025B"/>
    <w:rsid w:val="00213D50"/>
    <w:rsid w:val="00220A88"/>
    <w:rsid w:val="00220E10"/>
    <w:rsid w:val="0022729E"/>
    <w:rsid w:val="002274F3"/>
    <w:rsid w:val="002319C7"/>
    <w:rsid w:val="00232DEF"/>
    <w:rsid w:val="002462DF"/>
    <w:rsid w:val="002473A3"/>
    <w:rsid w:val="00250C4D"/>
    <w:rsid w:val="00252E7E"/>
    <w:rsid w:val="00254F38"/>
    <w:rsid w:val="0025593B"/>
    <w:rsid w:val="00255AA3"/>
    <w:rsid w:val="002571B9"/>
    <w:rsid w:val="00260872"/>
    <w:rsid w:val="00263C97"/>
    <w:rsid w:val="002641AB"/>
    <w:rsid w:val="0026434C"/>
    <w:rsid w:val="00272493"/>
    <w:rsid w:val="0027769D"/>
    <w:rsid w:val="00280D04"/>
    <w:rsid w:val="0028135A"/>
    <w:rsid w:val="00283B80"/>
    <w:rsid w:val="00284163"/>
    <w:rsid w:val="00293B6F"/>
    <w:rsid w:val="00294978"/>
    <w:rsid w:val="002959E1"/>
    <w:rsid w:val="002A33DD"/>
    <w:rsid w:val="002A3C18"/>
    <w:rsid w:val="002A6E26"/>
    <w:rsid w:val="002B6831"/>
    <w:rsid w:val="002C7B8A"/>
    <w:rsid w:val="002D6D73"/>
    <w:rsid w:val="002E1A59"/>
    <w:rsid w:val="002E3534"/>
    <w:rsid w:val="002E4966"/>
    <w:rsid w:val="002E5E0A"/>
    <w:rsid w:val="002E7A84"/>
    <w:rsid w:val="002F6AA5"/>
    <w:rsid w:val="002F7745"/>
    <w:rsid w:val="00310E2B"/>
    <w:rsid w:val="0032055F"/>
    <w:rsid w:val="00321317"/>
    <w:rsid w:val="003224D2"/>
    <w:rsid w:val="00325BC8"/>
    <w:rsid w:val="00326E22"/>
    <w:rsid w:val="0033164A"/>
    <w:rsid w:val="00334CB9"/>
    <w:rsid w:val="003372E4"/>
    <w:rsid w:val="00340043"/>
    <w:rsid w:val="00341EEF"/>
    <w:rsid w:val="003424AD"/>
    <w:rsid w:val="00344CEF"/>
    <w:rsid w:val="003452B6"/>
    <w:rsid w:val="00350C90"/>
    <w:rsid w:val="00354CE1"/>
    <w:rsid w:val="0035612E"/>
    <w:rsid w:val="00357AD8"/>
    <w:rsid w:val="00360C26"/>
    <w:rsid w:val="00361902"/>
    <w:rsid w:val="003629CE"/>
    <w:rsid w:val="00365C0C"/>
    <w:rsid w:val="003745AC"/>
    <w:rsid w:val="00383CA8"/>
    <w:rsid w:val="0038498B"/>
    <w:rsid w:val="00390888"/>
    <w:rsid w:val="00395D8D"/>
    <w:rsid w:val="0039750F"/>
    <w:rsid w:val="003A2187"/>
    <w:rsid w:val="003A4013"/>
    <w:rsid w:val="003A5B9D"/>
    <w:rsid w:val="003A6BB9"/>
    <w:rsid w:val="003B12EB"/>
    <w:rsid w:val="003B1D99"/>
    <w:rsid w:val="003B5B66"/>
    <w:rsid w:val="003B6878"/>
    <w:rsid w:val="003B7504"/>
    <w:rsid w:val="003C28A6"/>
    <w:rsid w:val="003C3246"/>
    <w:rsid w:val="003C40BE"/>
    <w:rsid w:val="003C68FA"/>
    <w:rsid w:val="003D1D5B"/>
    <w:rsid w:val="003D4AD6"/>
    <w:rsid w:val="003D574C"/>
    <w:rsid w:val="003D5F22"/>
    <w:rsid w:val="003D7A6E"/>
    <w:rsid w:val="003E1445"/>
    <w:rsid w:val="003E4109"/>
    <w:rsid w:val="003E5A9D"/>
    <w:rsid w:val="003E79F8"/>
    <w:rsid w:val="003E7FC1"/>
    <w:rsid w:val="003F0A0C"/>
    <w:rsid w:val="00402439"/>
    <w:rsid w:val="004069FB"/>
    <w:rsid w:val="0041028C"/>
    <w:rsid w:val="004143CF"/>
    <w:rsid w:val="004151F2"/>
    <w:rsid w:val="0041713B"/>
    <w:rsid w:val="0042053C"/>
    <w:rsid w:val="0042101B"/>
    <w:rsid w:val="00423A24"/>
    <w:rsid w:val="00424042"/>
    <w:rsid w:val="00430F6F"/>
    <w:rsid w:val="00432E0E"/>
    <w:rsid w:val="00443C40"/>
    <w:rsid w:val="00446073"/>
    <w:rsid w:val="004558A2"/>
    <w:rsid w:val="00465DAB"/>
    <w:rsid w:val="00476C46"/>
    <w:rsid w:val="00480658"/>
    <w:rsid w:val="0048166E"/>
    <w:rsid w:val="00483CCC"/>
    <w:rsid w:val="00485614"/>
    <w:rsid w:val="00492750"/>
    <w:rsid w:val="00493913"/>
    <w:rsid w:val="004959E4"/>
    <w:rsid w:val="004A483D"/>
    <w:rsid w:val="004A72F1"/>
    <w:rsid w:val="004B03D7"/>
    <w:rsid w:val="004B0D75"/>
    <w:rsid w:val="004B465F"/>
    <w:rsid w:val="004B5CFA"/>
    <w:rsid w:val="004B67B0"/>
    <w:rsid w:val="004C2D6D"/>
    <w:rsid w:val="004C719B"/>
    <w:rsid w:val="004D1687"/>
    <w:rsid w:val="004D1A22"/>
    <w:rsid w:val="004D4E90"/>
    <w:rsid w:val="004D6989"/>
    <w:rsid w:val="004E051F"/>
    <w:rsid w:val="004E0D1C"/>
    <w:rsid w:val="004E707D"/>
    <w:rsid w:val="004F0B15"/>
    <w:rsid w:val="004F2094"/>
    <w:rsid w:val="004F513A"/>
    <w:rsid w:val="004F6C6A"/>
    <w:rsid w:val="004F765C"/>
    <w:rsid w:val="005005AC"/>
    <w:rsid w:val="00510EFF"/>
    <w:rsid w:val="005117E4"/>
    <w:rsid w:val="0051185F"/>
    <w:rsid w:val="00511941"/>
    <w:rsid w:val="00515866"/>
    <w:rsid w:val="005209B4"/>
    <w:rsid w:val="00521A80"/>
    <w:rsid w:val="005252B2"/>
    <w:rsid w:val="0053001B"/>
    <w:rsid w:val="005324D2"/>
    <w:rsid w:val="00532655"/>
    <w:rsid w:val="00537782"/>
    <w:rsid w:val="00540C2B"/>
    <w:rsid w:val="005439F1"/>
    <w:rsid w:val="005462C2"/>
    <w:rsid w:val="005565FF"/>
    <w:rsid w:val="005623A1"/>
    <w:rsid w:val="00564083"/>
    <w:rsid w:val="00567C54"/>
    <w:rsid w:val="00570448"/>
    <w:rsid w:val="005735DA"/>
    <w:rsid w:val="005804D7"/>
    <w:rsid w:val="00581020"/>
    <w:rsid w:val="00590A95"/>
    <w:rsid w:val="0059484D"/>
    <w:rsid w:val="00597FD7"/>
    <w:rsid w:val="005B092B"/>
    <w:rsid w:val="005B0C03"/>
    <w:rsid w:val="005B2C81"/>
    <w:rsid w:val="005B7D1E"/>
    <w:rsid w:val="005C356A"/>
    <w:rsid w:val="005D4899"/>
    <w:rsid w:val="005E1BFD"/>
    <w:rsid w:val="005E1D0B"/>
    <w:rsid w:val="005E4BEB"/>
    <w:rsid w:val="005F18AC"/>
    <w:rsid w:val="005F241D"/>
    <w:rsid w:val="005F4F8B"/>
    <w:rsid w:val="005F6C0F"/>
    <w:rsid w:val="006051F9"/>
    <w:rsid w:val="0060705D"/>
    <w:rsid w:val="0061030C"/>
    <w:rsid w:val="0061172C"/>
    <w:rsid w:val="00611DF9"/>
    <w:rsid w:val="00613FBC"/>
    <w:rsid w:val="00614F3E"/>
    <w:rsid w:val="006222F8"/>
    <w:rsid w:val="00623D25"/>
    <w:rsid w:val="00624504"/>
    <w:rsid w:val="006270AA"/>
    <w:rsid w:val="0063085B"/>
    <w:rsid w:val="00631851"/>
    <w:rsid w:val="006330C4"/>
    <w:rsid w:val="0063320F"/>
    <w:rsid w:val="0063401F"/>
    <w:rsid w:val="006428F8"/>
    <w:rsid w:val="006435A9"/>
    <w:rsid w:val="00643C77"/>
    <w:rsid w:val="00644B14"/>
    <w:rsid w:val="00645201"/>
    <w:rsid w:val="0064653C"/>
    <w:rsid w:val="0064711D"/>
    <w:rsid w:val="00647AAD"/>
    <w:rsid w:val="006615D7"/>
    <w:rsid w:val="0066630C"/>
    <w:rsid w:val="00670E02"/>
    <w:rsid w:val="0067145A"/>
    <w:rsid w:val="00671808"/>
    <w:rsid w:val="00671851"/>
    <w:rsid w:val="00671AD7"/>
    <w:rsid w:val="00680694"/>
    <w:rsid w:val="00683556"/>
    <w:rsid w:val="0069134F"/>
    <w:rsid w:val="00691476"/>
    <w:rsid w:val="00692A33"/>
    <w:rsid w:val="0069514F"/>
    <w:rsid w:val="006968F6"/>
    <w:rsid w:val="006A57EB"/>
    <w:rsid w:val="006A69F3"/>
    <w:rsid w:val="006B0A3C"/>
    <w:rsid w:val="006B0E2B"/>
    <w:rsid w:val="006B1AA6"/>
    <w:rsid w:val="006B4966"/>
    <w:rsid w:val="006C2A16"/>
    <w:rsid w:val="006C5164"/>
    <w:rsid w:val="006D24B8"/>
    <w:rsid w:val="006D29BA"/>
    <w:rsid w:val="006D3E99"/>
    <w:rsid w:val="006E112F"/>
    <w:rsid w:val="006E2884"/>
    <w:rsid w:val="006E3684"/>
    <w:rsid w:val="006F50CA"/>
    <w:rsid w:val="00700713"/>
    <w:rsid w:val="007013FB"/>
    <w:rsid w:val="00702BF5"/>
    <w:rsid w:val="00704FB1"/>
    <w:rsid w:val="00705AA3"/>
    <w:rsid w:val="007129EB"/>
    <w:rsid w:val="007233C7"/>
    <w:rsid w:val="0073275E"/>
    <w:rsid w:val="00733DEF"/>
    <w:rsid w:val="00734664"/>
    <w:rsid w:val="00737508"/>
    <w:rsid w:val="00742E22"/>
    <w:rsid w:val="007528F2"/>
    <w:rsid w:val="00754D01"/>
    <w:rsid w:val="0075521E"/>
    <w:rsid w:val="007616E2"/>
    <w:rsid w:val="00762E08"/>
    <w:rsid w:val="00763C82"/>
    <w:rsid w:val="00764446"/>
    <w:rsid w:val="007653F3"/>
    <w:rsid w:val="00774DA0"/>
    <w:rsid w:val="00780CC9"/>
    <w:rsid w:val="007817B4"/>
    <w:rsid w:val="00781AFF"/>
    <w:rsid w:val="007871A0"/>
    <w:rsid w:val="007875F7"/>
    <w:rsid w:val="00791955"/>
    <w:rsid w:val="007A0E22"/>
    <w:rsid w:val="007A2C92"/>
    <w:rsid w:val="007A6E84"/>
    <w:rsid w:val="007A7046"/>
    <w:rsid w:val="007A7125"/>
    <w:rsid w:val="007B1289"/>
    <w:rsid w:val="007B1865"/>
    <w:rsid w:val="007B521E"/>
    <w:rsid w:val="007B7FEE"/>
    <w:rsid w:val="007C3A5A"/>
    <w:rsid w:val="007C5B2B"/>
    <w:rsid w:val="007D05D4"/>
    <w:rsid w:val="007D1B02"/>
    <w:rsid w:val="007D7CD7"/>
    <w:rsid w:val="007E5398"/>
    <w:rsid w:val="007F195F"/>
    <w:rsid w:val="007F29EC"/>
    <w:rsid w:val="007F5017"/>
    <w:rsid w:val="007F6C70"/>
    <w:rsid w:val="008012C0"/>
    <w:rsid w:val="008033B1"/>
    <w:rsid w:val="00810839"/>
    <w:rsid w:val="008123E4"/>
    <w:rsid w:val="008128AC"/>
    <w:rsid w:val="00812C50"/>
    <w:rsid w:val="00813464"/>
    <w:rsid w:val="00814D70"/>
    <w:rsid w:val="00815AEA"/>
    <w:rsid w:val="00815B0D"/>
    <w:rsid w:val="00816D04"/>
    <w:rsid w:val="00820C4E"/>
    <w:rsid w:val="008262F3"/>
    <w:rsid w:val="00826382"/>
    <w:rsid w:val="008309FE"/>
    <w:rsid w:val="00830EFE"/>
    <w:rsid w:val="008332F9"/>
    <w:rsid w:val="00845BC3"/>
    <w:rsid w:val="00850679"/>
    <w:rsid w:val="00851D0A"/>
    <w:rsid w:val="008531AA"/>
    <w:rsid w:val="00856602"/>
    <w:rsid w:val="00856679"/>
    <w:rsid w:val="00863263"/>
    <w:rsid w:val="008660B9"/>
    <w:rsid w:val="00866C71"/>
    <w:rsid w:val="0086756E"/>
    <w:rsid w:val="008742DD"/>
    <w:rsid w:val="00874979"/>
    <w:rsid w:val="00874CA7"/>
    <w:rsid w:val="00875218"/>
    <w:rsid w:val="00883372"/>
    <w:rsid w:val="00885FA7"/>
    <w:rsid w:val="008925D8"/>
    <w:rsid w:val="008A2E62"/>
    <w:rsid w:val="008A786A"/>
    <w:rsid w:val="008C4FCC"/>
    <w:rsid w:val="008C59E4"/>
    <w:rsid w:val="008C60C2"/>
    <w:rsid w:val="008D4DC6"/>
    <w:rsid w:val="008D6AB0"/>
    <w:rsid w:val="008E7515"/>
    <w:rsid w:val="008F0E0A"/>
    <w:rsid w:val="008F34DF"/>
    <w:rsid w:val="008F3945"/>
    <w:rsid w:val="008F6EBD"/>
    <w:rsid w:val="009037A8"/>
    <w:rsid w:val="009056C1"/>
    <w:rsid w:val="00906147"/>
    <w:rsid w:val="00906190"/>
    <w:rsid w:val="0091097F"/>
    <w:rsid w:val="00921654"/>
    <w:rsid w:val="00927F1D"/>
    <w:rsid w:val="009422E3"/>
    <w:rsid w:val="00943250"/>
    <w:rsid w:val="00944766"/>
    <w:rsid w:val="0094526F"/>
    <w:rsid w:val="009474D0"/>
    <w:rsid w:val="009479E0"/>
    <w:rsid w:val="009507AC"/>
    <w:rsid w:val="00954D7C"/>
    <w:rsid w:val="00956EA1"/>
    <w:rsid w:val="00961275"/>
    <w:rsid w:val="00964116"/>
    <w:rsid w:val="00964195"/>
    <w:rsid w:val="00967D34"/>
    <w:rsid w:val="0097035F"/>
    <w:rsid w:val="009711D1"/>
    <w:rsid w:val="009735EA"/>
    <w:rsid w:val="00975C5F"/>
    <w:rsid w:val="00996E89"/>
    <w:rsid w:val="009A05DC"/>
    <w:rsid w:val="009D31E9"/>
    <w:rsid w:val="009D411D"/>
    <w:rsid w:val="009D4D38"/>
    <w:rsid w:val="009D50F1"/>
    <w:rsid w:val="009D6130"/>
    <w:rsid w:val="009E12EC"/>
    <w:rsid w:val="009E1B3F"/>
    <w:rsid w:val="009E24EF"/>
    <w:rsid w:val="009E2F1C"/>
    <w:rsid w:val="00A00C9D"/>
    <w:rsid w:val="00A00CE4"/>
    <w:rsid w:val="00A157B5"/>
    <w:rsid w:val="00A224AA"/>
    <w:rsid w:val="00A27CA9"/>
    <w:rsid w:val="00A27FB9"/>
    <w:rsid w:val="00A3020F"/>
    <w:rsid w:val="00A3536B"/>
    <w:rsid w:val="00A47A84"/>
    <w:rsid w:val="00A537DC"/>
    <w:rsid w:val="00A541C6"/>
    <w:rsid w:val="00A57014"/>
    <w:rsid w:val="00A61661"/>
    <w:rsid w:val="00A652F9"/>
    <w:rsid w:val="00A70259"/>
    <w:rsid w:val="00A71155"/>
    <w:rsid w:val="00A9194B"/>
    <w:rsid w:val="00A92EF2"/>
    <w:rsid w:val="00A94AF8"/>
    <w:rsid w:val="00AA0A55"/>
    <w:rsid w:val="00AA4012"/>
    <w:rsid w:val="00AA6B2D"/>
    <w:rsid w:val="00AB1EA0"/>
    <w:rsid w:val="00AC061D"/>
    <w:rsid w:val="00AC6DFB"/>
    <w:rsid w:val="00AD2EC5"/>
    <w:rsid w:val="00AD430C"/>
    <w:rsid w:val="00AD6E0C"/>
    <w:rsid w:val="00AD736D"/>
    <w:rsid w:val="00AE13A1"/>
    <w:rsid w:val="00AE3F94"/>
    <w:rsid w:val="00AE641E"/>
    <w:rsid w:val="00AF058C"/>
    <w:rsid w:val="00AF1F8B"/>
    <w:rsid w:val="00AF5955"/>
    <w:rsid w:val="00AF6B2F"/>
    <w:rsid w:val="00AF70F4"/>
    <w:rsid w:val="00B01893"/>
    <w:rsid w:val="00B02FE1"/>
    <w:rsid w:val="00B0368E"/>
    <w:rsid w:val="00B07A8B"/>
    <w:rsid w:val="00B100DD"/>
    <w:rsid w:val="00B10891"/>
    <w:rsid w:val="00B14B8F"/>
    <w:rsid w:val="00B14BA4"/>
    <w:rsid w:val="00B155C8"/>
    <w:rsid w:val="00B1581C"/>
    <w:rsid w:val="00B20A51"/>
    <w:rsid w:val="00B227D6"/>
    <w:rsid w:val="00B253E6"/>
    <w:rsid w:val="00B2608C"/>
    <w:rsid w:val="00B33ABD"/>
    <w:rsid w:val="00B3547F"/>
    <w:rsid w:val="00B363AE"/>
    <w:rsid w:val="00B37384"/>
    <w:rsid w:val="00B41C1C"/>
    <w:rsid w:val="00B502CA"/>
    <w:rsid w:val="00B6168B"/>
    <w:rsid w:val="00B61F9C"/>
    <w:rsid w:val="00B6275A"/>
    <w:rsid w:val="00B66099"/>
    <w:rsid w:val="00B66D96"/>
    <w:rsid w:val="00B767EA"/>
    <w:rsid w:val="00B771E4"/>
    <w:rsid w:val="00B81492"/>
    <w:rsid w:val="00B95447"/>
    <w:rsid w:val="00BA2F2C"/>
    <w:rsid w:val="00BA42E9"/>
    <w:rsid w:val="00BA4B8D"/>
    <w:rsid w:val="00BA56E0"/>
    <w:rsid w:val="00BB16B6"/>
    <w:rsid w:val="00BB5B00"/>
    <w:rsid w:val="00BB5B8B"/>
    <w:rsid w:val="00BC19FC"/>
    <w:rsid w:val="00BC36B7"/>
    <w:rsid w:val="00BC4D17"/>
    <w:rsid w:val="00BC59E7"/>
    <w:rsid w:val="00BC760B"/>
    <w:rsid w:val="00BC7698"/>
    <w:rsid w:val="00BC79B7"/>
    <w:rsid w:val="00BD0971"/>
    <w:rsid w:val="00BD3E02"/>
    <w:rsid w:val="00BD61F7"/>
    <w:rsid w:val="00BE0D7D"/>
    <w:rsid w:val="00BE407F"/>
    <w:rsid w:val="00BE469C"/>
    <w:rsid w:val="00BE6315"/>
    <w:rsid w:val="00BE7939"/>
    <w:rsid w:val="00BF1728"/>
    <w:rsid w:val="00BF5494"/>
    <w:rsid w:val="00C03250"/>
    <w:rsid w:val="00C14968"/>
    <w:rsid w:val="00C14A7D"/>
    <w:rsid w:val="00C15A78"/>
    <w:rsid w:val="00C1634D"/>
    <w:rsid w:val="00C2259E"/>
    <w:rsid w:val="00C239CC"/>
    <w:rsid w:val="00C24879"/>
    <w:rsid w:val="00C27E62"/>
    <w:rsid w:val="00C31151"/>
    <w:rsid w:val="00C348D9"/>
    <w:rsid w:val="00C36AB8"/>
    <w:rsid w:val="00C37475"/>
    <w:rsid w:val="00C41D7F"/>
    <w:rsid w:val="00C4338E"/>
    <w:rsid w:val="00C46B89"/>
    <w:rsid w:val="00C46CDB"/>
    <w:rsid w:val="00C4709F"/>
    <w:rsid w:val="00C50BCF"/>
    <w:rsid w:val="00C5619D"/>
    <w:rsid w:val="00C561CE"/>
    <w:rsid w:val="00C60B36"/>
    <w:rsid w:val="00C60F2B"/>
    <w:rsid w:val="00C62D2A"/>
    <w:rsid w:val="00C666C6"/>
    <w:rsid w:val="00C710EE"/>
    <w:rsid w:val="00C7215A"/>
    <w:rsid w:val="00C721F6"/>
    <w:rsid w:val="00C73E3F"/>
    <w:rsid w:val="00C74E99"/>
    <w:rsid w:val="00C75DAD"/>
    <w:rsid w:val="00C76BA6"/>
    <w:rsid w:val="00C76BC1"/>
    <w:rsid w:val="00C815EC"/>
    <w:rsid w:val="00C82F3C"/>
    <w:rsid w:val="00C86E30"/>
    <w:rsid w:val="00C879E0"/>
    <w:rsid w:val="00C955C4"/>
    <w:rsid w:val="00C97A7B"/>
    <w:rsid w:val="00CA1772"/>
    <w:rsid w:val="00CA38CD"/>
    <w:rsid w:val="00CA7D78"/>
    <w:rsid w:val="00CB056B"/>
    <w:rsid w:val="00CB5DBB"/>
    <w:rsid w:val="00CB6D7C"/>
    <w:rsid w:val="00CC1AA8"/>
    <w:rsid w:val="00CC3FA8"/>
    <w:rsid w:val="00CC48F5"/>
    <w:rsid w:val="00CC4F8C"/>
    <w:rsid w:val="00CC5BFA"/>
    <w:rsid w:val="00CD0B58"/>
    <w:rsid w:val="00CD3603"/>
    <w:rsid w:val="00CD5149"/>
    <w:rsid w:val="00CE42FA"/>
    <w:rsid w:val="00CE4A30"/>
    <w:rsid w:val="00CE7846"/>
    <w:rsid w:val="00CF056D"/>
    <w:rsid w:val="00CF56BA"/>
    <w:rsid w:val="00CF6F98"/>
    <w:rsid w:val="00CF72EA"/>
    <w:rsid w:val="00CF7ECE"/>
    <w:rsid w:val="00D01BB2"/>
    <w:rsid w:val="00D0375C"/>
    <w:rsid w:val="00D0523C"/>
    <w:rsid w:val="00D07862"/>
    <w:rsid w:val="00D13CF0"/>
    <w:rsid w:val="00D14479"/>
    <w:rsid w:val="00D178F5"/>
    <w:rsid w:val="00D179E0"/>
    <w:rsid w:val="00D2174C"/>
    <w:rsid w:val="00D22BB1"/>
    <w:rsid w:val="00D237F4"/>
    <w:rsid w:val="00D27A3A"/>
    <w:rsid w:val="00D27CC4"/>
    <w:rsid w:val="00D32DC1"/>
    <w:rsid w:val="00D40FBB"/>
    <w:rsid w:val="00D4126C"/>
    <w:rsid w:val="00D456FB"/>
    <w:rsid w:val="00D509A3"/>
    <w:rsid w:val="00D53361"/>
    <w:rsid w:val="00D5388D"/>
    <w:rsid w:val="00D54CBD"/>
    <w:rsid w:val="00D5727E"/>
    <w:rsid w:val="00D6120B"/>
    <w:rsid w:val="00D620C1"/>
    <w:rsid w:val="00D63DDF"/>
    <w:rsid w:val="00D6679E"/>
    <w:rsid w:val="00D77F20"/>
    <w:rsid w:val="00D82EA7"/>
    <w:rsid w:val="00D8366E"/>
    <w:rsid w:val="00D84586"/>
    <w:rsid w:val="00D86EB9"/>
    <w:rsid w:val="00D8711F"/>
    <w:rsid w:val="00D908C4"/>
    <w:rsid w:val="00D972CF"/>
    <w:rsid w:val="00DA00AE"/>
    <w:rsid w:val="00DA0AF7"/>
    <w:rsid w:val="00DA1CE3"/>
    <w:rsid w:val="00DB00D2"/>
    <w:rsid w:val="00DB716A"/>
    <w:rsid w:val="00DC318C"/>
    <w:rsid w:val="00DC42D6"/>
    <w:rsid w:val="00DC4C68"/>
    <w:rsid w:val="00DD2CAF"/>
    <w:rsid w:val="00DD5480"/>
    <w:rsid w:val="00DE6AED"/>
    <w:rsid w:val="00E03F0D"/>
    <w:rsid w:val="00E03FBC"/>
    <w:rsid w:val="00E069DC"/>
    <w:rsid w:val="00E115D1"/>
    <w:rsid w:val="00E17166"/>
    <w:rsid w:val="00E20BBA"/>
    <w:rsid w:val="00E213EC"/>
    <w:rsid w:val="00E2450B"/>
    <w:rsid w:val="00E25435"/>
    <w:rsid w:val="00E270FD"/>
    <w:rsid w:val="00E306A1"/>
    <w:rsid w:val="00E36234"/>
    <w:rsid w:val="00E4202B"/>
    <w:rsid w:val="00E42EB3"/>
    <w:rsid w:val="00E44562"/>
    <w:rsid w:val="00E52A88"/>
    <w:rsid w:val="00E53161"/>
    <w:rsid w:val="00E569CC"/>
    <w:rsid w:val="00E56FD9"/>
    <w:rsid w:val="00E64A39"/>
    <w:rsid w:val="00E64F89"/>
    <w:rsid w:val="00E65A34"/>
    <w:rsid w:val="00E6630F"/>
    <w:rsid w:val="00E66648"/>
    <w:rsid w:val="00E72DF7"/>
    <w:rsid w:val="00E72F77"/>
    <w:rsid w:val="00E7432D"/>
    <w:rsid w:val="00E74C16"/>
    <w:rsid w:val="00E77637"/>
    <w:rsid w:val="00E8511F"/>
    <w:rsid w:val="00E85B7D"/>
    <w:rsid w:val="00E87775"/>
    <w:rsid w:val="00E93383"/>
    <w:rsid w:val="00E93F70"/>
    <w:rsid w:val="00EA086D"/>
    <w:rsid w:val="00EA650A"/>
    <w:rsid w:val="00EA66DE"/>
    <w:rsid w:val="00EC10E8"/>
    <w:rsid w:val="00EC32EC"/>
    <w:rsid w:val="00EC440C"/>
    <w:rsid w:val="00EC708F"/>
    <w:rsid w:val="00EC73C4"/>
    <w:rsid w:val="00EC7DB4"/>
    <w:rsid w:val="00ED21E4"/>
    <w:rsid w:val="00ED23EF"/>
    <w:rsid w:val="00ED2956"/>
    <w:rsid w:val="00ED6186"/>
    <w:rsid w:val="00ED6B09"/>
    <w:rsid w:val="00EE3F87"/>
    <w:rsid w:val="00EE4E4B"/>
    <w:rsid w:val="00EE5A2E"/>
    <w:rsid w:val="00EE6944"/>
    <w:rsid w:val="00EF0FDF"/>
    <w:rsid w:val="00EF19FB"/>
    <w:rsid w:val="00EF7BC1"/>
    <w:rsid w:val="00F0119C"/>
    <w:rsid w:val="00F03360"/>
    <w:rsid w:val="00F03C6B"/>
    <w:rsid w:val="00F10BA9"/>
    <w:rsid w:val="00F11A60"/>
    <w:rsid w:val="00F126CC"/>
    <w:rsid w:val="00F15755"/>
    <w:rsid w:val="00F31702"/>
    <w:rsid w:val="00F334B8"/>
    <w:rsid w:val="00F42F08"/>
    <w:rsid w:val="00F461B0"/>
    <w:rsid w:val="00F477F4"/>
    <w:rsid w:val="00F52BCD"/>
    <w:rsid w:val="00F538E5"/>
    <w:rsid w:val="00F53E61"/>
    <w:rsid w:val="00F53E6F"/>
    <w:rsid w:val="00F57CBE"/>
    <w:rsid w:val="00F6179F"/>
    <w:rsid w:val="00F61C4D"/>
    <w:rsid w:val="00F66EA8"/>
    <w:rsid w:val="00F741D1"/>
    <w:rsid w:val="00F7420A"/>
    <w:rsid w:val="00F765FE"/>
    <w:rsid w:val="00F83C97"/>
    <w:rsid w:val="00F85ADE"/>
    <w:rsid w:val="00F92E11"/>
    <w:rsid w:val="00F944D2"/>
    <w:rsid w:val="00FA1445"/>
    <w:rsid w:val="00FA4144"/>
    <w:rsid w:val="00FB0B0A"/>
    <w:rsid w:val="00FB2071"/>
    <w:rsid w:val="00FB50AD"/>
    <w:rsid w:val="00FC0B21"/>
    <w:rsid w:val="00FC119D"/>
    <w:rsid w:val="00FC1D8C"/>
    <w:rsid w:val="00FC3984"/>
    <w:rsid w:val="00FC52D3"/>
    <w:rsid w:val="00FC6051"/>
    <w:rsid w:val="00FC6591"/>
    <w:rsid w:val="00FC6CF4"/>
    <w:rsid w:val="00FC754B"/>
    <w:rsid w:val="00FD03DA"/>
    <w:rsid w:val="00FD1B34"/>
    <w:rsid w:val="00FD38BB"/>
    <w:rsid w:val="00FD4A40"/>
    <w:rsid w:val="00FD563C"/>
    <w:rsid w:val="00FE221D"/>
    <w:rsid w:val="00FE3E64"/>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0571">
      <w:bodyDiv w:val="1"/>
      <w:marLeft w:val="0"/>
      <w:marRight w:val="0"/>
      <w:marTop w:val="0"/>
      <w:marBottom w:val="0"/>
      <w:divBdr>
        <w:top w:val="none" w:sz="0" w:space="0" w:color="auto"/>
        <w:left w:val="none" w:sz="0" w:space="0" w:color="auto"/>
        <w:bottom w:val="none" w:sz="0" w:space="0" w:color="auto"/>
        <w:right w:val="none" w:sz="0" w:space="0" w:color="auto"/>
      </w:divBdr>
      <w:divsChild>
        <w:div w:id="1368023101">
          <w:marLeft w:val="0"/>
          <w:marRight w:val="0"/>
          <w:marTop w:val="0"/>
          <w:marBottom w:val="0"/>
          <w:divBdr>
            <w:top w:val="none" w:sz="0" w:space="0" w:color="auto"/>
            <w:left w:val="none" w:sz="0" w:space="0" w:color="auto"/>
            <w:bottom w:val="none" w:sz="0" w:space="0" w:color="auto"/>
            <w:right w:val="none" w:sz="0" w:space="0" w:color="auto"/>
          </w:divBdr>
          <w:divsChild>
            <w:div w:id="137724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71922">
      <w:bodyDiv w:val="1"/>
      <w:marLeft w:val="0"/>
      <w:marRight w:val="0"/>
      <w:marTop w:val="0"/>
      <w:marBottom w:val="0"/>
      <w:divBdr>
        <w:top w:val="none" w:sz="0" w:space="0" w:color="auto"/>
        <w:left w:val="none" w:sz="0" w:space="0" w:color="auto"/>
        <w:bottom w:val="none" w:sz="0" w:space="0" w:color="auto"/>
        <w:right w:val="none" w:sz="0" w:space="0" w:color="auto"/>
      </w:divBdr>
    </w:div>
    <w:div w:id="182599604">
      <w:bodyDiv w:val="1"/>
      <w:marLeft w:val="0"/>
      <w:marRight w:val="0"/>
      <w:marTop w:val="0"/>
      <w:marBottom w:val="0"/>
      <w:divBdr>
        <w:top w:val="none" w:sz="0" w:space="0" w:color="auto"/>
        <w:left w:val="none" w:sz="0" w:space="0" w:color="auto"/>
        <w:bottom w:val="none" w:sz="0" w:space="0" w:color="auto"/>
        <w:right w:val="none" w:sz="0" w:space="0" w:color="auto"/>
      </w:divBdr>
    </w:div>
    <w:div w:id="277685040">
      <w:bodyDiv w:val="1"/>
      <w:marLeft w:val="0"/>
      <w:marRight w:val="0"/>
      <w:marTop w:val="0"/>
      <w:marBottom w:val="0"/>
      <w:divBdr>
        <w:top w:val="none" w:sz="0" w:space="0" w:color="auto"/>
        <w:left w:val="none" w:sz="0" w:space="0" w:color="auto"/>
        <w:bottom w:val="none" w:sz="0" w:space="0" w:color="auto"/>
        <w:right w:val="none" w:sz="0" w:space="0" w:color="auto"/>
      </w:divBdr>
    </w:div>
    <w:div w:id="288359689">
      <w:bodyDiv w:val="1"/>
      <w:marLeft w:val="0"/>
      <w:marRight w:val="0"/>
      <w:marTop w:val="0"/>
      <w:marBottom w:val="0"/>
      <w:divBdr>
        <w:top w:val="none" w:sz="0" w:space="0" w:color="auto"/>
        <w:left w:val="none" w:sz="0" w:space="0" w:color="auto"/>
        <w:bottom w:val="none" w:sz="0" w:space="0" w:color="auto"/>
        <w:right w:val="none" w:sz="0" w:space="0" w:color="auto"/>
      </w:divBdr>
    </w:div>
    <w:div w:id="583029141">
      <w:bodyDiv w:val="1"/>
      <w:marLeft w:val="0"/>
      <w:marRight w:val="0"/>
      <w:marTop w:val="0"/>
      <w:marBottom w:val="0"/>
      <w:divBdr>
        <w:top w:val="none" w:sz="0" w:space="0" w:color="auto"/>
        <w:left w:val="none" w:sz="0" w:space="0" w:color="auto"/>
        <w:bottom w:val="none" w:sz="0" w:space="0" w:color="auto"/>
        <w:right w:val="none" w:sz="0" w:space="0" w:color="auto"/>
      </w:divBdr>
    </w:div>
    <w:div w:id="697315100">
      <w:bodyDiv w:val="1"/>
      <w:marLeft w:val="0"/>
      <w:marRight w:val="0"/>
      <w:marTop w:val="0"/>
      <w:marBottom w:val="0"/>
      <w:divBdr>
        <w:top w:val="none" w:sz="0" w:space="0" w:color="auto"/>
        <w:left w:val="none" w:sz="0" w:space="0" w:color="auto"/>
        <w:bottom w:val="none" w:sz="0" w:space="0" w:color="auto"/>
        <w:right w:val="none" w:sz="0" w:space="0" w:color="auto"/>
      </w:divBdr>
    </w:div>
    <w:div w:id="915670256">
      <w:bodyDiv w:val="1"/>
      <w:marLeft w:val="0"/>
      <w:marRight w:val="0"/>
      <w:marTop w:val="0"/>
      <w:marBottom w:val="0"/>
      <w:divBdr>
        <w:top w:val="none" w:sz="0" w:space="0" w:color="auto"/>
        <w:left w:val="none" w:sz="0" w:space="0" w:color="auto"/>
        <w:bottom w:val="none" w:sz="0" w:space="0" w:color="auto"/>
        <w:right w:val="none" w:sz="0" w:space="0" w:color="auto"/>
      </w:divBdr>
    </w:div>
    <w:div w:id="915750483">
      <w:bodyDiv w:val="1"/>
      <w:marLeft w:val="0"/>
      <w:marRight w:val="0"/>
      <w:marTop w:val="0"/>
      <w:marBottom w:val="0"/>
      <w:divBdr>
        <w:top w:val="none" w:sz="0" w:space="0" w:color="auto"/>
        <w:left w:val="none" w:sz="0" w:space="0" w:color="auto"/>
        <w:bottom w:val="none" w:sz="0" w:space="0" w:color="auto"/>
        <w:right w:val="none" w:sz="0" w:space="0" w:color="auto"/>
      </w:divBdr>
    </w:div>
    <w:div w:id="934440649">
      <w:bodyDiv w:val="1"/>
      <w:marLeft w:val="0"/>
      <w:marRight w:val="0"/>
      <w:marTop w:val="0"/>
      <w:marBottom w:val="0"/>
      <w:divBdr>
        <w:top w:val="none" w:sz="0" w:space="0" w:color="auto"/>
        <w:left w:val="none" w:sz="0" w:space="0" w:color="auto"/>
        <w:bottom w:val="none" w:sz="0" w:space="0" w:color="auto"/>
        <w:right w:val="none" w:sz="0" w:space="0" w:color="auto"/>
      </w:divBdr>
    </w:div>
    <w:div w:id="971446593">
      <w:bodyDiv w:val="1"/>
      <w:marLeft w:val="0"/>
      <w:marRight w:val="0"/>
      <w:marTop w:val="0"/>
      <w:marBottom w:val="0"/>
      <w:divBdr>
        <w:top w:val="none" w:sz="0" w:space="0" w:color="auto"/>
        <w:left w:val="none" w:sz="0" w:space="0" w:color="auto"/>
        <w:bottom w:val="none" w:sz="0" w:space="0" w:color="auto"/>
        <w:right w:val="none" w:sz="0" w:space="0" w:color="auto"/>
      </w:divBdr>
    </w:div>
    <w:div w:id="989938700">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062363415">
      <w:bodyDiv w:val="1"/>
      <w:marLeft w:val="0"/>
      <w:marRight w:val="0"/>
      <w:marTop w:val="0"/>
      <w:marBottom w:val="0"/>
      <w:divBdr>
        <w:top w:val="none" w:sz="0" w:space="0" w:color="auto"/>
        <w:left w:val="none" w:sz="0" w:space="0" w:color="auto"/>
        <w:bottom w:val="none" w:sz="0" w:space="0" w:color="auto"/>
        <w:right w:val="none" w:sz="0" w:space="0" w:color="auto"/>
      </w:divBdr>
    </w:div>
    <w:div w:id="1165243399">
      <w:bodyDiv w:val="1"/>
      <w:marLeft w:val="0"/>
      <w:marRight w:val="0"/>
      <w:marTop w:val="0"/>
      <w:marBottom w:val="0"/>
      <w:divBdr>
        <w:top w:val="none" w:sz="0" w:space="0" w:color="auto"/>
        <w:left w:val="none" w:sz="0" w:space="0" w:color="auto"/>
        <w:bottom w:val="none" w:sz="0" w:space="0" w:color="auto"/>
        <w:right w:val="none" w:sz="0" w:space="0" w:color="auto"/>
      </w:divBdr>
    </w:div>
    <w:div w:id="1175876284">
      <w:bodyDiv w:val="1"/>
      <w:marLeft w:val="0"/>
      <w:marRight w:val="0"/>
      <w:marTop w:val="0"/>
      <w:marBottom w:val="0"/>
      <w:divBdr>
        <w:top w:val="none" w:sz="0" w:space="0" w:color="auto"/>
        <w:left w:val="none" w:sz="0" w:space="0" w:color="auto"/>
        <w:bottom w:val="none" w:sz="0" w:space="0" w:color="auto"/>
        <w:right w:val="none" w:sz="0" w:space="0" w:color="auto"/>
      </w:divBdr>
    </w:div>
    <w:div w:id="1308899064">
      <w:bodyDiv w:val="1"/>
      <w:marLeft w:val="0"/>
      <w:marRight w:val="0"/>
      <w:marTop w:val="0"/>
      <w:marBottom w:val="0"/>
      <w:divBdr>
        <w:top w:val="none" w:sz="0" w:space="0" w:color="auto"/>
        <w:left w:val="none" w:sz="0" w:space="0" w:color="auto"/>
        <w:bottom w:val="none" w:sz="0" w:space="0" w:color="auto"/>
        <w:right w:val="none" w:sz="0" w:space="0" w:color="auto"/>
      </w:divBdr>
    </w:div>
    <w:div w:id="1334913348">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548761318">
      <w:bodyDiv w:val="1"/>
      <w:marLeft w:val="0"/>
      <w:marRight w:val="0"/>
      <w:marTop w:val="0"/>
      <w:marBottom w:val="0"/>
      <w:divBdr>
        <w:top w:val="none" w:sz="0" w:space="0" w:color="auto"/>
        <w:left w:val="none" w:sz="0" w:space="0" w:color="auto"/>
        <w:bottom w:val="none" w:sz="0" w:space="0" w:color="auto"/>
        <w:right w:val="none" w:sz="0" w:space="0" w:color="auto"/>
      </w:divBdr>
    </w:div>
    <w:div w:id="1554542937">
      <w:bodyDiv w:val="1"/>
      <w:marLeft w:val="0"/>
      <w:marRight w:val="0"/>
      <w:marTop w:val="0"/>
      <w:marBottom w:val="0"/>
      <w:divBdr>
        <w:top w:val="none" w:sz="0" w:space="0" w:color="auto"/>
        <w:left w:val="none" w:sz="0" w:space="0" w:color="auto"/>
        <w:bottom w:val="none" w:sz="0" w:space="0" w:color="auto"/>
        <w:right w:val="none" w:sz="0" w:space="0" w:color="auto"/>
      </w:divBdr>
      <w:divsChild>
        <w:div w:id="1621261557">
          <w:marLeft w:val="0"/>
          <w:marRight w:val="0"/>
          <w:marTop w:val="0"/>
          <w:marBottom w:val="0"/>
          <w:divBdr>
            <w:top w:val="none" w:sz="0" w:space="0" w:color="auto"/>
            <w:left w:val="none" w:sz="0" w:space="0" w:color="auto"/>
            <w:bottom w:val="none" w:sz="0" w:space="0" w:color="auto"/>
            <w:right w:val="none" w:sz="0" w:space="0" w:color="auto"/>
          </w:divBdr>
          <w:divsChild>
            <w:div w:id="20952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17872">
      <w:bodyDiv w:val="1"/>
      <w:marLeft w:val="0"/>
      <w:marRight w:val="0"/>
      <w:marTop w:val="0"/>
      <w:marBottom w:val="0"/>
      <w:divBdr>
        <w:top w:val="none" w:sz="0" w:space="0" w:color="auto"/>
        <w:left w:val="none" w:sz="0" w:space="0" w:color="auto"/>
        <w:bottom w:val="none" w:sz="0" w:space="0" w:color="auto"/>
        <w:right w:val="none" w:sz="0" w:space="0" w:color="auto"/>
      </w:divBdr>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1902133245">
      <w:bodyDiv w:val="1"/>
      <w:marLeft w:val="0"/>
      <w:marRight w:val="0"/>
      <w:marTop w:val="0"/>
      <w:marBottom w:val="0"/>
      <w:divBdr>
        <w:top w:val="none" w:sz="0" w:space="0" w:color="auto"/>
        <w:left w:val="none" w:sz="0" w:space="0" w:color="auto"/>
        <w:bottom w:val="none" w:sz="0" w:space="0" w:color="auto"/>
        <w:right w:val="none" w:sz="0" w:space="0" w:color="auto"/>
      </w:divBdr>
    </w:div>
    <w:div w:id="1984310037">
      <w:bodyDiv w:val="1"/>
      <w:marLeft w:val="0"/>
      <w:marRight w:val="0"/>
      <w:marTop w:val="0"/>
      <w:marBottom w:val="0"/>
      <w:divBdr>
        <w:top w:val="none" w:sz="0" w:space="0" w:color="auto"/>
        <w:left w:val="none" w:sz="0" w:space="0" w:color="auto"/>
        <w:bottom w:val="none" w:sz="0" w:space="0" w:color="auto"/>
        <w:right w:val="none" w:sz="0" w:space="0" w:color="auto"/>
      </w:divBdr>
    </w:div>
    <w:div w:id="2035308417">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ci.com/index-methodology" TargetMode="External"/><Relationship Id="rId3" Type="http://schemas.openxmlformats.org/officeDocument/2006/relationships/settings" Target="settings.xml"/><Relationship Id="rId7" Type="http://schemas.openxmlformats.org/officeDocument/2006/relationships/hyperlink" Target="https://about.amundi.com/esg-documen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3016</Words>
  <Characters>16591</Characters>
  <Application>Microsoft Office Word</Application>
  <DocSecurity>0</DocSecurity>
  <Lines>138</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Amundi Asset Management</Company>
  <LinksUpToDate>false</LinksUpToDate>
  <CharactersWithSpaces>19568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640</cp:revision>
  <dcterms:created xsi:type="dcterms:W3CDTF">2022-11-23T07:47:00Z</dcterms:created>
  <dcterms:modified xsi:type="dcterms:W3CDTF">2025-05-07T13:27:00Z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