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5765C4C0" w:rsidR="005E1D0B" w:rsidRPr="0032055F" w:rsidRDefault="004707A8" w:rsidP="003D7A6E">
            <w:pPr>
              <w:ind w:left="-101" w:right="-851"/>
              <w:jc w:val="both"/>
              <w:rPr>
                <w:lang w:val="en-US"/>
              </w:rPr>
            </w:pPr>
            <w:r w:rsidRPr="004707A8">
              <w:rPr>
                <w:lang w:val="en-US"/>
              </w:rPr>
              <w:t>Amundi MSCI World Climate Paris Aligned UCITS ETF</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7B8A2EE0" w:rsidR="005E1D0B" w:rsidRPr="007528F2" w:rsidRDefault="004707A8" w:rsidP="003F0A0C">
            <w:pPr>
              <w:ind w:right="-851"/>
              <w:rPr>
                <w:lang w:val="it-IT"/>
              </w:rPr>
            </w:pPr>
            <w:r w:rsidRPr="004707A8">
              <w:rPr>
                <w:lang w:val="it-IT"/>
              </w:rPr>
              <w:t>213800YB3OFP6CVAOH35</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05AEE7E6" w14:textId="77777777" w:rsidR="006B0FAE" w:rsidRDefault="006B0FAE" w:rsidP="00D456FB">
      <w:pPr>
        <w:jc w:val="both"/>
        <w:rPr>
          <w:lang w:val="en-US"/>
        </w:rPr>
      </w:pPr>
      <w:r w:rsidRPr="006B0FAE">
        <w:rPr>
          <w:lang w:val="en-US"/>
        </w:rPr>
        <w:t>The Sub-Fund seeks to promote the following environmental and social characteristics:</w:t>
      </w:r>
    </w:p>
    <w:p w14:paraId="01293DAD" w14:textId="77777777" w:rsidR="006B0FAE" w:rsidRDefault="006B0FAE" w:rsidP="00D456FB">
      <w:pPr>
        <w:jc w:val="both"/>
        <w:rPr>
          <w:lang w:val="en-US"/>
        </w:rPr>
      </w:pPr>
      <w:r w:rsidRPr="006B0FAE">
        <w:rPr>
          <w:lang w:val="en-US"/>
        </w:rPr>
        <w:t>1) reduction of carbon emission intensity; and</w:t>
      </w:r>
    </w:p>
    <w:p w14:paraId="7B3216D8" w14:textId="77777777" w:rsidR="006B0FAE" w:rsidRDefault="006B0FAE" w:rsidP="00D456FB">
      <w:pPr>
        <w:jc w:val="both"/>
        <w:rPr>
          <w:lang w:val="en-US"/>
        </w:rPr>
      </w:pPr>
      <w:r w:rsidRPr="006B0FAE">
        <w:rPr>
          <w:lang w:val="en-US"/>
        </w:rPr>
        <w:t>2) reduction in the production of controversial and nuclear weapons; and</w:t>
      </w:r>
    </w:p>
    <w:p w14:paraId="2811C6FB" w14:textId="77777777" w:rsidR="006B0FAE" w:rsidRDefault="006B0FAE" w:rsidP="00D456FB">
      <w:pPr>
        <w:jc w:val="both"/>
        <w:rPr>
          <w:lang w:val="en-US"/>
        </w:rPr>
      </w:pPr>
      <w:r w:rsidRPr="006B0FAE">
        <w:rPr>
          <w:lang w:val="en-US"/>
        </w:rPr>
        <w:t>3) reduction in environmental harm derived from oil sands, thermal coal and unconventional oil and gas business activities</w:t>
      </w:r>
    </w:p>
    <w:p w14:paraId="1DD27B34" w14:textId="77777777" w:rsidR="006B0FAE" w:rsidRDefault="006B0FAE" w:rsidP="00D456FB">
      <w:pPr>
        <w:jc w:val="both"/>
        <w:rPr>
          <w:lang w:val="en-US"/>
        </w:rPr>
      </w:pPr>
      <w:r w:rsidRPr="006B0FAE">
        <w:rPr>
          <w:lang w:val="en-US"/>
        </w:rPr>
        <w:t>The Sub-Fund promotes these environmental and social characteristics through replicating an Index that is meeting the minimum standards for EU Paris Aligned Benchmarks ("EU PABs") under Regulation (EU) 2019/2089 amending Regulation (EU) 2016/1011 (the "Regulation"). The Regulation proposes the definitions of minimum standards for the methodology of any ‘EU Paris Aligned’ benchmark indices that would be aligned with the objectives of the Paris Agreement. The Index is selected and weighted to enhance its environmental and social sustainability by applying a range of environmental and social filters to the constituents of the Parent Index to meet environmental targets and reduce carbon footprint, compared to the Parent Index as described in detail below. The Index methodology align with certain criteria such as:</w:t>
      </w:r>
    </w:p>
    <w:p w14:paraId="0F53B5C2" w14:textId="77777777" w:rsidR="006B0FAE" w:rsidRDefault="006B0FAE" w:rsidP="00D456FB">
      <w:pPr>
        <w:jc w:val="both"/>
        <w:rPr>
          <w:lang w:val="en-US"/>
        </w:rPr>
      </w:pPr>
      <w:r w:rsidRPr="006B0FAE">
        <w:rPr>
          <w:lang w:val="en-US"/>
        </w:rPr>
        <w:t>1. A minimum reduction in Greenhouse Gas (GHG) intensity relative to Parent Index of 50%.</w:t>
      </w:r>
    </w:p>
    <w:p w14:paraId="6809893F" w14:textId="77777777" w:rsidR="006B0FAE" w:rsidRDefault="006B0FAE" w:rsidP="00D456FB">
      <w:pPr>
        <w:jc w:val="both"/>
        <w:rPr>
          <w:lang w:val="en-US"/>
        </w:rPr>
      </w:pPr>
      <w:r w:rsidRPr="006B0FAE">
        <w:rPr>
          <w:lang w:val="en-US"/>
        </w:rPr>
        <w:t>2. A minimum self-decarbonization rate of GHG emissions intensity in accordance with the trajectory implied by Intergovernmental Panel on Climate Change’s (IPCC) most ambitious 1.5ºC</w:t>
      </w:r>
      <w:r>
        <w:rPr>
          <w:lang w:val="en-US"/>
        </w:rPr>
        <w:t xml:space="preserve"> </w:t>
      </w:r>
      <w:r w:rsidRPr="006B0FAE">
        <w:rPr>
          <w:lang w:val="en-US"/>
        </w:rPr>
        <w:t>scenario, equating to at least 7% GHG intensity reduction on average per annum.</w:t>
      </w:r>
    </w:p>
    <w:p w14:paraId="4E4230D7" w14:textId="3744DE1B" w:rsidR="00BB5B00" w:rsidRDefault="006B0FAE" w:rsidP="00D456FB">
      <w:pPr>
        <w:jc w:val="both"/>
        <w:rPr>
          <w:lang w:val="en-US"/>
        </w:rPr>
      </w:pPr>
      <w:r w:rsidRPr="006B0FAE">
        <w:rPr>
          <w:lang w:val="en-US"/>
        </w:rPr>
        <w:t>Please see below which fully describes the criteria of the Index methodology.</w:t>
      </w:r>
    </w:p>
    <w:p w14:paraId="474ADAF7" w14:textId="77777777" w:rsidR="006B0FAE" w:rsidRPr="00A3536B" w:rsidRDefault="006B0FAE" w:rsidP="00D456FB">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10BF0B77" w14:textId="77777777" w:rsidR="006B0FAE" w:rsidRDefault="006B0FAE" w:rsidP="00EC440C">
      <w:pPr>
        <w:jc w:val="both"/>
        <w:rPr>
          <w:lang w:val="en-US"/>
        </w:rPr>
      </w:pPr>
      <w:r w:rsidRPr="006B0FAE">
        <w:rPr>
          <w:lang w:val="en-US"/>
        </w:rPr>
        <w:lastRenderedPageBreak/>
        <w:t>To track the performance of the MSCI World Climate Paris Aligned Filtered Index (the "Index").</w:t>
      </w:r>
    </w:p>
    <w:p w14:paraId="377983B6" w14:textId="47E75545" w:rsidR="006B0FAE" w:rsidRDefault="006B0FAE" w:rsidP="00EC440C">
      <w:pPr>
        <w:jc w:val="both"/>
        <w:rPr>
          <w:lang w:val="en-US"/>
        </w:rPr>
      </w:pPr>
      <w:r w:rsidRPr="006B0FAE">
        <w:rPr>
          <w:lang w:val="en-US"/>
        </w:rPr>
        <w:t>The Index is an equity index based on the MSCI World Index representative of the large and mid-cap stocks across developed market countries (the "Parent Index"). The Index is designed to support</w:t>
      </w:r>
      <w:r>
        <w:rPr>
          <w:lang w:val="en-US"/>
        </w:rPr>
        <w:t xml:space="preserve"> </w:t>
      </w:r>
      <w:r w:rsidRPr="006B0FAE">
        <w:rPr>
          <w:lang w:val="en-US"/>
        </w:rPr>
        <w:t>investors seeking to reduce their exposure to transition and physical climate risks and who wish to pursue opportunities arising from the transition to a lower-carbon economy, while aligning with the Paris Agreement requirements. The Index incorporates the Task Force on Climate-Related Financial Disclosures (TCFD) recommendations and is designed to exceed the minimum standards of the EU Paris-Aligned Benchmark.</w:t>
      </w:r>
    </w:p>
    <w:p w14:paraId="2FFA684E" w14:textId="77777777" w:rsidR="006B0FAE" w:rsidRDefault="006B0FAE" w:rsidP="00EC440C">
      <w:pPr>
        <w:jc w:val="both"/>
        <w:rPr>
          <w:lang w:val="en-US"/>
        </w:rPr>
      </w:pPr>
      <w:r w:rsidRPr="006B0FAE">
        <w:rPr>
          <w:lang w:val="en-US"/>
        </w:rPr>
        <w:t>The Sub-Fund is a passively managed ETF. Its investment strategy is to replicate the Index while minimizing the related tracking error.</w:t>
      </w:r>
    </w:p>
    <w:p w14:paraId="33828322" w14:textId="77777777" w:rsidR="006B0FAE" w:rsidRDefault="006B0FAE" w:rsidP="00EC440C">
      <w:pPr>
        <w:jc w:val="both"/>
        <w:rPr>
          <w:lang w:val="en-US"/>
        </w:rPr>
      </w:pPr>
      <w:r w:rsidRPr="006B0FAE">
        <w:rPr>
          <w:lang w:val="en-US"/>
        </w:rPr>
        <w:t xml:space="preserve">MSCI World Climate Paris Aligned Filtered Index is constructed using an optimization process that aims to achieve replicability and </w:t>
      </w:r>
      <w:proofErr w:type="spellStart"/>
      <w:r w:rsidRPr="006B0FAE">
        <w:rPr>
          <w:lang w:val="en-US"/>
        </w:rPr>
        <w:t>investability.</w:t>
      </w:r>
      <w:proofErr w:type="spellEnd"/>
    </w:p>
    <w:p w14:paraId="6772C3FB" w14:textId="77777777" w:rsidR="006B0FAE" w:rsidRDefault="006B0FAE" w:rsidP="00EC440C">
      <w:pPr>
        <w:jc w:val="both"/>
        <w:rPr>
          <w:lang w:val="en-US"/>
        </w:rPr>
      </w:pPr>
      <w:r w:rsidRPr="006B0FAE">
        <w:rPr>
          <w:lang w:val="en-US"/>
        </w:rPr>
        <w:t>First, the Index features exclusions for companies from the MSCI World Index (</w:t>
      </w:r>
      <w:proofErr w:type="spellStart"/>
      <w:r w:rsidRPr="006B0FAE">
        <w:rPr>
          <w:lang w:val="en-US"/>
        </w:rPr>
        <w:t>the”Parent</w:t>
      </w:r>
      <w:proofErr w:type="spellEnd"/>
      <w:r w:rsidRPr="006B0FAE">
        <w:rPr>
          <w:lang w:val="en-US"/>
        </w:rPr>
        <w:t xml:space="preserve"> Index”) with controversial weapons, ESG controversies, tobacco, environmental harm, nuclear weapons, thermal coal, thermal coal mining, oil &amp; gas, unconventional oil &amp; gas, artic oil &amp; gas, power generation, weapons activities based on MSCI methodologies. An optimization process is used to determine the constituents of the Index as well as their respective weight in the Index.</w:t>
      </w:r>
    </w:p>
    <w:p w14:paraId="72C34DC2" w14:textId="77777777" w:rsidR="006B0FAE" w:rsidRDefault="006B0FAE" w:rsidP="00EC440C">
      <w:pPr>
        <w:jc w:val="both"/>
        <w:rPr>
          <w:lang w:val="en-US"/>
        </w:rPr>
      </w:pPr>
      <w:r w:rsidRPr="006B0FAE">
        <w:rPr>
          <w:lang w:val="en-US"/>
        </w:rPr>
        <w:t>This process aims to minimize the tracking error compared to the Parent Index while simultaneously delivering objectives through optimization constraints, including:</w:t>
      </w:r>
    </w:p>
    <w:p w14:paraId="29D6C3FA" w14:textId="77777777" w:rsidR="006B0FAE" w:rsidRDefault="006B0FAE" w:rsidP="00EC440C">
      <w:pPr>
        <w:jc w:val="both"/>
        <w:rPr>
          <w:lang w:val="en-US"/>
        </w:rPr>
      </w:pPr>
      <w:r w:rsidRPr="006B0FAE">
        <w:rPr>
          <w:lang w:val="en-US"/>
        </w:rPr>
        <w:t>1. Transition and physical risk objectives :</w:t>
      </w:r>
    </w:p>
    <w:p w14:paraId="47B1506D" w14:textId="77777777" w:rsidR="006B0FAE" w:rsidRDefault="006B0FAE" w:rsidP="00EC440C">
      <w:pPr>
        <w:jc w:val="both"/>
        <w:rPr>
          <w:lang w:val="en-US"/>
        </w:rPr>
      </w:pPr>
      <w:r w:rsidRPr="006B0FAE">
        <w:rPr>
          <w:lang w:val="en-US"/>
        </w:rPr>
        <w:t>a. Minimum reduction in Greenhouse Gas (GHG) intensity (Scope 1+2+3) by 50% when compared to the Parent Index;</w:t>
      </w:r>
    </w:p>
    <w:p w14:paraId="40DD5536" w14:textId="77777777" w:rsidR="006B0FAE" w:rsidRDefault="006B0FAE" w:rsidP="00EC440C">
      <w:pPr>
        <w:jc w:val="both"/>
        <w:rPr>
          <w:lang w:val="en-US"/>
        </w:rPr>
      </w:pPr>
      <w:r w:rsidRPr="006B0FAE">
        <w:rPr>
          <w:lang w:val="en-US"/>
        </w:rPr>
        <w:t>b. Minimum average reduction (per annum) in GHG intensity by 10% relative to GHG Intensity at the base date;</w:t>
      </w:r>
    </w:p>
    <w:p w14:paraId="4630BD2A" w14:textId="77777777" w:rsidR="006B0FAE" w:rsidRDefault="006B0FAE" w:rsidP="00EC440C">
      <w:pPr>
        <w:jc w:val="both"/>
        <w:rPr>
          <w:lang w:val="en-US"/>
        </w:rPr>
      </w:pPr>
      <w:r w:rsidRPr="006B0FAE">
        <w:rPr>
          <w:lang w:val="en-US"/>
        </w:rPr>
        <w:t>c. Minimum active weight in high climate impact sector when compared to the Parent Index;</w:t>
      </w:r>
    </w:p>
    <w:p w14:paraId="7D34C58F" w14:textId="77777777" w:rsidR="006B0FAE" w:rsidRDefault="006B0FAE" w:rsidP="00EC440C">
      <w:pPr>
        <w:jc w:val="both"/>
        <w:rPr>
          <w:lang w:val="en-US"/>
        </w:rPr>
      </w:pPr>
      <w:r w:rsidRPr="006B0FAE">
        <w:rPr>
          <w:lang w:val="en-US"/>
        </w:rPr>
        <w:t>d. Minimum 20% increase in aggregate weight in companies setting targets relative to the aggregate weight of such companies in the Parent Index;</w:t>
      </w:r>
    </w:p>
    <w:p w14:paraId="50A03A29" w14:textId="77777777" w:rsidR="006B0FAE" w:rsidRDefault="006B0FAE" w:rsidP="00EC440C">
      <w:pPr>
        <w:jc w:val="both"/>
        <w:rPr>
          <w:lang w:val="en-US"/>
        </w:rPr>
      </w:pPr>
      <w:r w:rsidRPr="006B0FAE">
        <w:rPr>
          <w:lang w:val="en-US"/>
        </w:rPr>
        <w:t xml:space="preserve">e. Minimum 50% reduction in weighted average potential emissions intensity relative to Parent Index; </w:t>
      </w:r>
    </w:p>
    <w:p w14:paraId="7638116B" w14:textId="77777777" w:rsidR="006B0FAE" w:rsidRDefault="006B0FAE" w:rsidP="00EC440C">
      <w:pPr>
        <w:jc w:val="both"/>
        <w:rPr>
          <w:lang w:val="en-US"/>
        </w:rPr>
      </w:pPr>
      <w:r w:rsidRPr="006B0FAE">
        <w:rPr>
          <w:lang w:val="en-US"/>
        </w:rPr>
        <w:t>f. Minimum 50% reduction in weighted average extreme weather climate value-at-risk (aggressive scenario) relative to Parent Index.</w:t>
      </w:r>
    </w:p>
    <w:p w14:paraId="5CC0D46E" w14:textId="77777777" w:rsidR="006B0FAE" w:rsidRDefault="006B0FAE" w:rsidP="00EC440C">
      <w:pPr>
        <w:jc w:val="both"/>
        <w:rPr>
          <w:lang w:val="en-US"/>
        </w:rPr>
      </w:pPr>
      <w:r w:rsidRPr="006B0FAE">
        <w:rPr>
          <w:lang w:val="en-US"/>
        </w:rPr>
        <w:t>2. Transition opportunities objectives:</w:t>
      </w:r>
    </w:p>
    <w:p w14:paraId="781D0CFF" w14:textId="77777777" w:rsidR="006B0FAE" w:rsidRDefault="006B0FAE" w:rsidP="00EC440C">
      <w:pPr>
        <w:jc w:val="both"/>
        <w:rPr>
          <w:lang w:val="en-US"/>
        </w:rPr>
      </w:pPr>
      <w:r w:rsidRPr="006B0FAE">
        <w:rPr>
          <w:lang w:val="en-US"/>
        </w:rPr>
        <w:t>a. Minimum 10% increase in weighted average low carbon transition (“LCT”) score relative to Parent Index;</w:t>
      </w:r>
    </w:p>
    <w:p w14:paraId="009D1727" w14:textId="77777777" w:rsidR="006B0FAE" w:rsidRDefault="006B0FAE" w:rsidP="00EC440C">
      <w:pPr>
        <w:jc w:val="both"/>
        <w:rPr>
          <w:lang w:val="en-US"/>
        </w:rPr>
      </w:pPr>
      <w:r w:rsidRPr="006B0FAE">
        <w:rPr>
          <w:lang w:val="en-US"/>
        </w:rPr>
        <w:t>b. Improvement of the ratio of weighted average green revenue/weighted average fossil fuels-based revenue relative to Parent Index;</w:t>
      </w:r>
    </w:p>
    <w:p w14:paraId="6482516E" w14:textId="484E5844" w:rsidR="006B0FAE" w:rsidRDefault="006B0FAE" w:rsidP="00EC440C">
      <w:pPr>
        <w:jc w:val="both"/>
        <w:rPr>
          <w:lang w:val="en-US"/>
        </w:rPr>
      </w:pPr>
      <w:r w:rsidRPr="006B0FAE">
        <w:rPr>
          <w:lang w:val="en-US"/>
        </w:rPr>
        <w:t>c. Minimum 10% increase in weighted average green revenue relative to the Parent Index.</w:t>
      </w:r>
    </w:p>
    <w:p w14:paraId="7539C5D4" w14:textId="77777777" w:rsidR="006B0FAE" w:rsidRPr="006B0FAE" w:rsidRDefault="006B0FAE" w:rsidP="006B0FAE">
      <w:pPr>
        <w:jc w:val="both"/>
        <w:rPr>
          <w:lang w:val="en-US"/>
        </w:rPr>
      </w:pPr>
      <w:r w:rsidRPr="006B0FAE">
        <w:rPr>
          <w:lang w:val="en-US"/>
        </w:rPr>
        <w:t>Additionally, the following constraints are imposed to meet diversification objectives: constituent active weight, minimum constituent weight; security weight as a multiple of its weight in the Parent Index, active sector weights and active country weights.</w:t>
      </w:r>
    </w:p>
    <w:p w14:paraId="44673E3E" w14:textId="77777777" w:rsidR="006B0FAE" w:rsidRPr="006B0FAE" w:rsidRDefault="006B0FAE" w:rsidP="006B0FAE">
      <w:pPr>
        <w:jc w:val="both"/>
        <w:rPr>
          <w:lang w:val="en-US"/>
        </w:rPr>
      </w:pPr>
      <w:r w:rsidRPr="006B0FAE">
        <w:rPr>
          <w:lang w:val="en-US"/>
        </w:rPr>
        <w:lastRenderedPageBreak/>
        <w:t xml:space="preserve">The strategy is also relying on systematic exclusions policies (normative and </w:t>
      </w:r>
      <w:proofErr w:type="spellStart"/>
      <w:r w:rsidRPr="006B0FAE">
        <w:rPr>
          <w:lang w:val="en-US"/>
        </w:rPr>
        <w:t>sectorials</w:t>
      </w:r>
      <w:proofErr w:type="spellEnd"/>
      <w:r w:rsidRPr="006B0FAE">
        <w:rPr>
          <w:lang w:val="en-US"/>
        </w:rPr>
        <w:t>) as further described above and detailed in Amundi's Global Responsible Investment Policy (https://about.amundi.com/esg-documentation).</w:t>
      </w:r>
    </w:p>
    <w:p w14:paraId="4E54EAF2" w14:textId="47CB9D7A" w:rsidR="006B0FAE" w:rsidRDefault="006B0FAE" w:rsidP="006B0FAE">
      <w:pPr>
        <w:jc w:val="both"/>
        <w:rPr>
          <w:lang w:val="en-US"/>
        </w:rPr>
      </w:pPr>
      <w:r w:rsidRPr="006B0FAE">
        <w:rPr>
          <w:lang w:val="en-US"/>
        </w:rPr>
        <w:t>More information on the exclusions applied by the Index pursuant to EU Paris-aligned Benchmarks (PAB) is available in the section “Guidelines on funds’ names using ESG or sustainability-related terms” in the Prospectus.</w:t>
      </w:r>
    </w:p>
    <w:p w14:paraId="56D7B633" w14:textId="50E3351D" w:rsidR="00F03360" w:rsidRPr="00F03360" w:rsidRDefault="001A1570" w:rsidP="00EC440C">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Default="001478C5" w:rsidP="001478C5">
      <w:pPr>
        <w:jc w:val="both"/>
        <w:rPr>
          <w:lang w:val="en-US"/>
        </w:rPr>
      </w:pPr>
    </w:p>
    <w:p w14:paraId="207CDE62" w14:textId="77777777" w:rsidR="006B0FAE" w:rsidRDefault="006B0FAE" w:rsidP="006B0FAE">
      <w:pPr>
        <w:jc w:val="both"/>
        <w:rPr>
          <w:lang w:val="en-US"/>
        </w:rPr>
      </w:pPr>
      <w:r w:rsidRPr="006B0FAE">
        <w:rPr>
          <w:lang w:val="en-US"/>
        </w:rPr>
        <w:t>90% of the Sub-Fund’s securities and instruments will meet the promoted environmental or social characteristics in accordance with the binding elements of the Index methodology</w:t>
      </w:r>
      <w:r>
        <w:rPr>
          <w:lang w:val="en-US"/>
        </w:rPr>
        <w:t>.</w:t>
      </w:r>
    </w:p>
    <w:p w14:paraId="6D5034CD" w14:textId="7607B377" w:rsidR="00967D34" w:rsidRPr="00C2259E" w:rsidRDefault="006B0FAE" w:rsidP="006B0FAE">
      <w:pPr>
        <w:jc w:val="both"/>
        <w:rPr>
          <w:lang w:val="en-US"/>
        </w:rPr>
      </w:pPr>
      <w:r w:rsidRPr="006B0FAE">
        <w:rPr>
          <w:lang w:val="en-US"/>
        </w:rPr>
        <w:t>Furthermore, the Sub-Fund commits to have a minimum of 20% of Sustainable Investments as per the below chart.</w:t>
      </w:r>
    </w:p>
    <w:p w14:paraId="07FB3C67" w14:textId="77777777" w:rsidR="00A00CE4" w:rsidRPr="00C2259E" w:rsidRDefault="00A00CE4" w:rsidP="008F0E0A">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lastRenderedPageBreak/>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w:t>
      </w:r>
      <w:r w:rsidRPr="00F03360">
        <w:rPr>
          <w:rFonts w:cstheme="minorHAnsi"/>
          <w:lang w:val="en-US"/>
        </w:rPr>
        <w:lastRenderedPageBreak/>
        <w:t xml:space="preserve">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 xml:space="preserve">The investment management team is responsible for defining the investment process of the product, including the design of the appropriate risk framework in collaboration with the investment risk teams. </w:t>
      </w:r>
      <w:r w:rsidRPr="00F03360">
        <w:rPr>
          <w:rFonts w:cstheme="minorHAnsi"/>
          <w:lang w:val="en-US"/>
        </w:rPr>
        <w:lastRenderedPageBreak/>
        <w:t>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6E3D5D03" w14:textId="77777777" w:rsidR="00F6064B" w:rsidRDefault="00F6064B" w:rsidP="0086756E">
      <w:pPr>
        <w:jc w:val="both"/>
        <w:rPr>
          <w:lang w:val="en-US"/>
        </w:rPr>
      </w:pPr>
      <w:r w:rsidRPr="00F6064B">
        <w:rPr>
          <w:lang w:val="en-US"/>
        </w:rPr>
        <w:t>The Index is an equity index based on the Parent Index which is representative of the large and mid-cap stocks across developed market countries. The Index is designed to support investors seeking to reduce their exposure to transition and physical climate risks and who wish to pursue opportunities arising from the transition to a lower-carbon economy, while aligning with the Paris Agreement requirements.</w:t>
      </w:r>
    </w:p>
    <w:p w14:paraId="08F3307B" w14:textId="61CFF64F" w:rsidR="008D4DC6" w:rsidRDefault="00F6064B" w:rsidP="0086756E">
      <w:pPr>
        <w:jc w:val="both"/>
        <w:rPr>
          <w:lang w:val="en-US"/>
        </w:rPr>
      </w:pPr>
      <w:r w:rsidRPr="00F6064B">
        <w:rPr>
          <w:lang w:val="en-US"/>
        </w:rPr>
        <w:t>The Index incorporates the Task Force on Climate-Related Financial Disclosures (TCFD) recommendations and is designed to exceed the minimum standards of the EU Paris-Aligned</w:t>
      </w:r>
      <w:r>
        <w:rPr>
          <w:lang w:val="en-US"/>
        </w:rPr>
        <w:t xml:space="preserve"> </w:t>
      </w:r>
      <w:r w:rsidRPr="00F6064B">
        <w:rPr>
          <w:lang w:val="en-US"/>
        </w:rPr>
        <w:t>Benchmark.</w:t>
      </w:r>
    </w:p>
    <w:p w14:paraId="23B9073F" w14:textId="7A229933" w:rsidR="00F6064B" w:rsidRPr="00ED6186" w:rsidRDefault="00F6064B" w:rsidP="0086756E">
      <w:pPr>
        <w:jc w:val="both"/>
        <w:rPr>
          <w:lang w:val="en-US"/>
        </w:rPr>
      </w:pPr>
      <w:r w:rsidRPr="00F6064B">
        <w:rPr>
          <w:lang w:val="en-US"/>
        </w:rPr>
        <w:t xml:space="preserve">Additional information on the Index can be found at </w:t>
      </w:r>
      <w:hyperlink r:id="rId7" w:history="1">
        <w:r w:rsidRPr="00844198">
          <w:rPr>
            <w:rStyle w:val="Lienhypertexte"/>
            <w:lang w:val="en-US"/>
          </w:rPr>
          <w:t>https://www.msci.com/index-methodology</w:t>
        </w:r>
      </w:hyperlink>
      <w:r w:rsidRPr="00F6064B">
        <w:rPr>
          <w:lang w:val="en-US"/>
        </w:rPr>
        <w:t>.</w:t>
      </w:r>
    </w:p>
    <w:sectPr w:rsidR="00F6064B" w:rsidRPr="00ED61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0267"/>
    <w:rsid w:val="00011382"/>
    <w:rsid w:val="00012882"/>
    <w:rsid w:val="00012AD8"/>
    <w:rsid w:val="00012DD9"/>
    <w:rsid w:val="00013545"/>
    <w:rsid w:val="00015157"/>
    <w:rsid w:val="00017E54"/>
    <w:rsid w:val="000209B0"/>
    <w:rsid w:val="000217E5"/>
    <w:rsid w:val="0002380B"/>
    <w:rsid w:val="00023BCF"/>
    <w:rsid w:val="00025D8E"/>
    <w:rsid w:val="00034561"/>
    <w:rsid w:val="00035437"/>
    <w:rsid w:val="00035B4E"/>
    <w:rsid w:val="000412A1"/>
    <w:rsid w:val="000427A2"/>
    <w:rsid w:val="00042D15"/>
    <w:rsid w:val="000435C2"/>
    <w:rsid w:val="00043683"/>
    <w:rsid w:val="00045A1E"/>
    <w:rsid w:val="000468CC"/>
    <w:rsid w:val="000510CF"/>
    <w:rsid w:val="00052AC6"/>
    <w:rsid w:val="000607DB"/>
    <w:rsid w:val="0006502E"/>
    <w:rsid w:val="00077199"/>
    <w:rsid w:val="000861DE"/>
    <w:rsid w:val="00090EFD"/>
    <w:rsid w:val="00091926"/>
    <w:rsid w:val="00091FFF"/>
    <w:rsid w:val="000975C6"/>
    <w:rsid w:val="000A19B1"/>
    <w:rsid w:val="000A4432"/>
    <w:rsid w:val="000B04F7"/>
    <w:rsid w:val="000B1BA8"/>
    <w:rsid w:val="000B1BC1"/>
    <w:rsid w:val="000B2D37"/>
    <w:rsid w:val="000C23E1"/>
    <w:rsid w:val="000C26DD"/>
    <w:rsid w:val="000C37EA"/>
    <w:rsid w:val="000C79AC"/>
    <w:rsid w:val="000D1316"/>
    <w:rsid w:val="000D27F4"/>
    <w:rsid w:val="000D6298"/>
    <w:rsid w:val="000E0EC8"/>
    <w:rsid w:val="000E3C3A"/>
    <w:rsid w:val="000F06B2"/>
    <w:rsid w:val="000F1F78"/>
    <w:rsid w:val="000F43D7"/>
    <w:rsid w:val="000F6CC2"/>
    <w:rsid w:val="001027ED"/>
    <w:rsid w:val="00103686"/>
    <w:rsid w:val="00104730"/>
    <w:rsid w:val="001055FC"/>
    <w:rsid w:val="00106D5A"/>
    <w:rsid w:val="001100F0"/>
    <w:rsid w:val="00110BDC"/>
    <w:rsid w:val="00111B7E"/>
    <w:rsid w:val="00115D57"/>
    <w:rsid w:val="00120226"/>
    <w:rsid w:val="001217EF"/>
    <w:rsid w:val="0012542D"/>
    <w:rsid w:val="001256AE"/>
    <w:rsid w:val="00126748"/>
    <w:rsid w:val="00127624"/>
    <w:rsid w:val="00133C39"/>
    <w:rsid w:val="001346F6"/>
    <w:rsid w:val="00136F7A"/>
    <w:rsid w:val="001407E3"/>
    <w:rsid w:val="00142994"/>
    <w:rsid w:val="001453D9"/>
    <w:rsid w:val="00146D05"/>
    <w:rsid w:val="001478C5"/>
    <w:rsid w:val="001510FB"/>
    <w:rsid w:val="00152FEA"/>
    <w:rsid w:val="001530A6"/>
    <w:rsid w:val="00155B30"/>
    <w:rsid w:val="00155F70"/>
    <w:rsid w:val="00160352"/>
    <w:rsid w:val="00162AB6"/>
    <w:rsid w:val="001661FE"/>
    <w:rsid w:val="001711EF"/>
    <w:rsid w:val="001720F2"/>
    <w:rsid w:val="00175C69"/>
    <w:rsid w:val="00180F8A"/>
    <w:rsid w:val="00186D18"/>
    <w:rsid w:val="0019141D"/>
    <w:rsid w:val="0019303F"/>
    <w:rsid w:val="00193E39"/>
    <w:rsid w:val="001A1570"/>
    <w:rsid w:val="001A4E68"/>
    <w:rsid w:val="001B13EB"/>
    <w:rsid w:val="001B1C2F"/>
    <w:rsid w:val="001B3E3C"/>
    <w:rsid w:val="001B5922"/>
    <w:rsid w:val="001B67B5"/>
    <w:rsid w:val="001C0B2D"/>
    <w:rsid w:val="001C2BD7"/>
    <w:rsid w:val="001D4BC9"/>
    <w:rsid w:val="001E08A0"/>
    <w:rsid w:val="001E17CE"/>
    <w:rsid w:val="001E28A2"/>
    <w:rsid w:val="001E5AB7"/>
    <w:rsid w:val="001E68C5"/>
    <w:rsid w:val="001F04F3"/>
    <w:rsid w:val="001F3B14"/>
    <w:rsid w:val="001F6AF1"/>
    <w:rsid w:val="001F7141"/>
    <w:rsid w:val="001F74CA"/>
    <w:rsid w:val="00203212"/>
    <w:rsid w:val="0021002E"/>
    <w:rsid w:val="0021025B"/>
    <w:rsid w:val="00213D50"/>
    <w:rsid w:val="00220A88"/>
    <w:rsid w:val="00220E10"/>
    <w:rsid w:val="0022729E"/>
    <w:rsid w:val="002274F3"/>
    <w:rsid w:val="002319C7"/>
    <w:rsid w:val="00232DEF"/>
    <w:rsid w:val="002462DF"/>
    <w:rsid w:val="002473A3"/>
    <w:rsid w:val="00250C4D"/>
    <w:rsid w:val="00252E7E"/>
    <w:rsid w:val="00254F38"/>
    <w:rsid w:val="0025593B"/>
    <w:rsid w:val="00255AA3"/>
    <w:rsid w:val="002571B9"/>
    <w:rsid w:val="00260872"/>
    <w:rsid w:val="00263C97"/>
    <w:rsid w:val="002641AB"/>
    <w:rsid w:val="0026434C"/>
    <w:rsid w:val="00272493"/>
    <w:rsid w:val="0027769D"/>
    <w:rsid w:val="00280D04"/>
    <w:rsid w:val="0028135A"/>
    <w:rsid w:val="00283B80"/>
    <w:rsid w:val="00284163"/>
    <w:rsid w:val="00293B6F"/>
    <w:rsid w:val="00294978"/>
    <w:rsid w:val="002959E1"/>
    <w:rsid w:val="002A33DD"/>
    <w:rsid w:val="002A3C18"/>
    <w:rsid w:val="002A6E26"/>
    <w:rsid w:val="002B6831"/>
    <w:rsid w:val="002C7B8A"/>
    <w:rsid w:val="002D6D73"/>
    <w:rsid w:val="002E1A59"/>
    <w:rsid w:val="002E3534"/>
    <w:rsid w:val="002E4966"/>
    <w:rsid w:val="002E5E0A"/>
    <w:rsid w:val="002E7A84"/>
    <w:rsid w:val="002F6AA5"/>
    <w:rsid w:val="002F7745"/>
    <w:rsid w:val="00310E2B"/>
    <w:rsid w:val="0032055F"/>
    <w:rsid w:val="00321317"/>
    <w:rsid w:val="003224D2"/>
    <w:rsid w:val="00325BC8"/>
    <w:rsid w:val="00326E22"/>
    <w:rsid w:val="0033164A"/>
    <w:rsid w:val="00334CB9"/>
    <w:rsid w:val="003372E4"/>
    <w:rsid w:val="00340043"/>
    <w:rsid w:val="00341EEF"/>
    <w:rsid w:val="003424AD"/>
    <w:rsid w:val="00344CEF"/>
    <w:rsid w:val="003452B6"/>
    <w:rsid w:val="00350C90"/>
    <w:rsid w:val="00354CE1"/>
    <w:rsid w:val="0035612E"/>
    <w:rsid w:val="00357AD8"/>
    <w:rsid w:val="00360C26"/>
    <w:rsid w:val="00361902"/>
    <w:rsid w:val="003629CE"/>
    <w:rsid w:val="00365C0C"/>
    <w:rsid w:val="003745AC"/>
    <w:rsid w:val="00383CA8"/>
    <w:rsid w:val="0038498B"/>
    <w:rsid w:val="00390888"/>
    <w:rsid w:val="00395D8D"/>
    <w:rsid w:val="0039750F"/>
    <w:rsid w:val="003A2187"/>
    <w:rsid w:val="003A4013"/>
    <w:rsid w:val="003A5B9D"/>
    <w:rsid w:val="003A6BB9"/>
    <w:rsid w:val="003B12EB"/>
    <w:rsid w:val="003B1D99"/>
    <w:rsid w:val="003B5B66"/>
    <w:rsid w:val="003B6878"/>
    <w:rsid w:val="003B7504"/>
    <w:rsid w:val="003C28A6"/>
    <w:rsid w:val="003C3246"/>
    <w:rsid w:val="003C40BE"/>
    <w:rsid w:val="003C68FA"/>
    <w:rsid w:val="003D1D5B"/>
    <w:rsid w:val="003D4AD6"/>
    <w:rsid w:val="003D574C"/>
    <w:rsid w:val="003D5F22"/>
    <w:rsid w:val="003D7A6E"/>
    <w:rsid w:val="003E1445"/>
    <w:rsid w:val="003E4109"/>
    <w:rsid w:val="003E5A9D"/>
    <w:rsid w:val="003E79F8"/>
    <w:rsid w:val="003E7FC1"/>
    <w:rsid w:val="003F0A0C"/>
    <w:rsid w:val="00402439"/>
    <w:rsid w:val="004069FB"/>
    <w:rsid w:val="0041028C"/>
    <w:rsid w:val="004143CF"/>
    <w:rsid w:val="004151F2"/>
    <w:rsid w:val="0041713B"/>
    <w:rsid w:val="0042053C"/>
    <w:rsid w:val="0042101B"/>
    <w:rsid w:val="00423A24"/>
    <w:rsid w:val="00424042"/>
    <w:rsid w:val="00430F6F"/>
    <w:rsid w:val="00432E0E"/>
    <w:rsid w:val="00443C40"/>
    <w:rsid w:val="00446073"/>
    <w:rsid w:val="004558A2"/>
    <w:rsid w:val="00465DAB"/>
    <w:rsid w:val="004707A8"/>
    <w:rsid w:val="00476C46"/>
    <w:rsid w:val="00480658"/>
    <w:rsid w:val="00480FBD"/>
    <w:rsid w:val="0048166E"/>
    <w:rsid w:val="00483CCC"/>
    <w:rsid w:val="00485614"/>
    <w:rsid w:val="00492750"/>
    <w:rsid w:val="00493913"/>
    <w:rsid w:val="004959E4"/>
    <w:rsid w:val="004A483D"/>
    <w:rsid w:val="004A72F1"/>
    <w:rsid w:val="004B03D7"/>
    <w:rsid w:val="004B0D75"/>
    <w:rsid w:val="004B465F"/>
    <w:rsid w:val="004B5CFA"/>
    <w:rsid w:val="004B67B0"/>
    <w:rsid w:val="004C2D6D"/>
    <w:rsid w:val="004C719B"/>
    <w:rsid w:val="004D1687"/>
    <w:rsid w:val="004D1A22"/>
    <w:rsid w:val="004D4E90"/>
    <w:rsid w:val="004D6989"/>
    <w:rsid w:val="004E051F"/>
    <w:rsid w:val="004E0D1C"/>
    <w:rsid w:val="004E707D"/>
    <w:rsid w:val="004F0B15"/>
    <w:rsid w:val="004F2094"/>
    <w:rsid w:val="004F513A"/>
    <w:rsid w:val="004F6C6A"/>
    <w:rsid w:val="004F765C"/>
    <w:rsid w:val="005005AC"/>
    <w:rsid w:val="00510EFF"/>
    <w:rsid w:val="005117E4"/>
    <w:rsid w:val="0051185F"/>
    <w:rsid w:val="00511941"/>
    <w:rsid w:val="00515866"/>
    <w:rsid w:val="005209B4"/>
    <w:rsid w:val="00521A80"/>
    <w:rsid w:val="005252B2"/>
    <w:rsid w:val="0053001B"/>
    <w:rsid w:val="005324D2"/>
    <w:rsid w:val="00532655"/>
    <w:rsid w:val="00537782"/>
    <w:rsid w:val="00540C2B"/>
    <w:rsid w:val="005439F1"/>
    <w:rsid w:val="005462C2"/>
    <w:rsid w:val="005565FF"/>
    <w:rsid w:val="005623A1"/>
    <w:rsid w:val="00564083"/>
    <w:rsid w:val="00567C54"/>
    <w:rsid w:val="00570448"/>
    <w:rsid w:val="005735DA"/>
    <w:rsid w:val="005804D7"/>
    <w:rsid w:val="00581020"/>
    <w:rsid w:val="00590A95"/>
    <w:rsid w:val="0059484D"/>
    <w:rsid w:val="00597FD7"/>
    <w:rsid w:val="005B092B"/>
    <w:rsid w:val="005B0C03"/>
    <w:rsid w:val="005B2C81"/>
    <w:rsid w:val="005B7D1E"/>
    <w:rsid w:val="005C356A"/>
    <w:rsid w:val="005D4899"/>
    <w:rsid w:val="005E1BFD"/>
    <w:rsid w:val="005E1D0B"/>
    <w:rsid w:val="005E4BEB"/>
    <w:rsid w:val="005F18AC"/>
    <w:rsid w:val="005F241D"/>
    <w:rsid w:val="005F4F8B"/>
    <w:rsid w:val="005F6C0F"/>
    <w:rsid w:val="006051F9"/>
    <w:rsid w:val="0060705D"/>
    <w:rsid w:val="0061030C"/>
    <w:rsid w:val="0061172C"/>
    <w:rsid w:val="00611DF9"/>
    <w:rsid w:val="00613FBC"/>
    <w:rsid w:val="00614F3E"/>
    <w:rsid w:val="006222F8"/>
    <w:rsid w:val="00623D25"/>
    <w:rsid w:val="00624504"/>
    <w:rsid w:val="006270AA"/>
    <w:rsid w:val="0063085B"/>
    <w:rsid w:val="00631851"/>
    <w:rsid w:val="006330C4"/>
    <w:rsid w:val="0063320F"/>
    <w:rsid w:val="0063401F"/>
    <w:rsid w:val="006428F8"/>
    <w:rsid w:val="006435A9"/>
    <w:rsid w:val="00643C77"/>
    <w:rsid w:val="00644B14"/>
    <w:rsid w:val="00645201"/>
    <w:rsid w:val="0064653C"/>
    <w:rsid w:val="0064711D"/>
    <w:rsid w:val="00647AAD"/>
    <w:rsid w:val="006615D7"/>
    <w:rsid w:val="0066630C"/>
    <w:rsid w:val="00670E02"/>
    <w:rsid w:val="0067145A"/>
    <w:rsid w:val="00671808"/>
    <w:rsid w:val="00671851"/>
    <w:rsid w:val="00671AD7"/>
    <w:rsid w:val="00680694"/>
    <w:rsid w:val="00683556"/>
    <w:rsid w:val="0069134F"/>
    <w:rsid w:val="00691476"/>
    <w:rsid w:val="00692A33"/>
    <w:rsid w:val="0069514F"/>
    <w:rsid w:val="006968F6"/>
    <w:rsid w:val="006A57EB"/>
    <w:rsid w:val="006A69F3"/>
    <w:rsid w:val="006B0A3C"/>
    <w:rsid w:val="006B0E2B"/>
    <w:rsid w:val="006B0FAE"/>
    <w:rsid w:val="006B1AA6"/>
    <w:rsid w:val="006B4966"/>
    <w:rsid w:val="006C2A16"/>
    <w:rsid w:val="006C5164"/>
    <w:rsid w:val="006D24B8"/>
    <w:rsid w:val="006D29BA"/>
    <w:rsid w:val="006D3E99"/>
    <w:rsid w:val="006E112F"/>
    <w:rsid w:val="006E2884"/>
    <w:rsid w:val="006E3684"/>
    <w:rsid w:val="006F50CA"/>
    <w:rsid w:val="00700713"/>
    <w:rsid w:val="007013FB"/>
    <w:rsid w:val="00702BF5"/>
    <w:rsid w:val="00704FB1"/>
    <w:rsid w:val="00705AA3"/>
    <w:rsid w:val="007129EB"/>
    <w:rsid w:val="007233C7"/>
    <w:rsid w:val="0073275E"/>
    <w:rsid w:val="00733DEF"/>
    <w:rsid w:val="00734664"/>
    <w:rsid w:val="00737508"/>
    <w:rsid w:val="00742E22"/>
    <w:rsid w:val="007528F2"/>
    <w:rsid w:val="00754D01"/>
    <w:rsid w:val="0075521E"/>
    <w:rsid w:val="007616E2"/>
    <w:rsid w:val="00762E08"/>
    <w:rsid w:val="00763C82"/>
    <w:rsid w:val="00764446"/>
    <w:rsid w:val="007653F3"/>
    <w:rsid w:val="00774DA0"/>
    <w:rsid w:val="00780CC9"/>
    <w:rsid w:val="007817B4"/>
    <w:rsid w:val="00781AFF"/>
    <w:rsid w:val="007871A0"/>
    <w:rsid w:val="007875F7"/>
    <w:rsid w:val="00791955"/>
    <w:rsid w:val="007A0E22"/>
    <w:rsid w:val="007A2C92"/>
    <w:rsid w:val="007A6E84"/>
    <w:rsid w:val="007A7046"/>
    <w:rsid w:val="007A7125"/>
    <w:rsid w:val="007B1289"/>
    <w:rsid w:val="007B1865"/>
    <w:rsid w:val="007B521E"/>
    <w:rsid w:val="007B7FEE"/>
    <w:rsid w:val="007C3A5A"/>
    <w:rsid w:val="007C5B2B"/>
    <w:rsid w:val="007D05D4"/>
    <w:rsid w:val="007D1B02"/>
    <w:rsid w:val="007D7CD7"/>
    <w:rsid w:val="007E5398"/>
    <w:rsid w:val="007F195F"/>
    <w:rsid w:val="007F29EC"/>
    <w:rsid w:val="007F5017"/>
    <w:rsid w:val="007F6C70"/>
    <w:rsid w:val="008012C0"/>
    <w:rsid w:val="008033B1"/>
    <w:rsid w:val="00810839"/>
    <w:rsid w:val="008123E4"/>
    <w:rsid w:val="008128AC"/>
    <w:rsid w:val="00812C50"/>
    <w:rsid w:val="00813464"/>
    <w:rsid w:val="00814D70"/>
    <w:rsid w:val="00815AEA"/>
    <w:rsid w:val="00815B0D"/>
    <w:rsid w:val="00816D04"/>
    <w:rsid w:val="00820C4E"/>
    <w:rsid w:val="008262F3"/>
    <w:rsid w:val="00826382"/>
    <w:rsid w:val="008309FE"/>
    <w:rsid w:val="00830EFE"/>
    <w:rsid w:val="008332F9"/>
    <w:rsid w:val="00845BC3"/>
    <w:rsid w:val="00850679"/>
    <w:rsid w:val="00851D0A"/>
    <w:rsid w:val="008531AA"/>
    <w:rsid w:val="00856602"/>
    <w:rsid w:val="00856679"/>
    <w:rsid w:val="00863263"/>
    <w:rsid w:val="008660B9"/>
    <w:rsid w:val="00866C71"/>
    <w:rsid w:val="0086756E"/>
    <w:rsid w:val="008742DD"/>
    <w:rsid w:val="00874979"/>
    <w:rsid w:val="00874CA7"/>
    <w:rsid w:val="00875218"/>
    <w:rsid w:val="00883372"/>
    <w:rsid w:val="00885FA7"/>
    <w:rsid w:val="008925D8"/>
    <w:rsid w:val="008A2E62"/>
    <w:rsid w:val="008A786A"/>
    <w:rsid w:val="008C4FCC"/>
    <w:rsid w:val="008C59E4"/>
    <w:rsid w:val="008C60C2"/>
    <w:rsid w:val="008D4DC6"/>
    <w:rsid w:val="008D6AB0"/>
    <w:rsid w:val="008E7515"/>
    <w:rsid w:val="008F0E0A"/>
    <w:rsid w:val="008F34DF"/>
    <w:rsid w:val="008F3945"/>
    <w:rsid w:val="008F6EBD"/>
    <w:rsid w:val="009037A8"/>
    <w:rsid w:val="009056C1"/>
    <w:rsid w:val="00906147"/>
    <w:rsid w:val="00906190"/>
    <w:rsid w:val="0091097F"/>
    <w:rsid w:val="00921654"/>
    <w:rsid w:val="00927F1D"/>
    <w:rsid w:val="009422E3"/>
    <w:rsid w:val="00943250"/>
    <w:rsid w:val="00944766"/>
    <w:rsid w:val="0094526F"/>
    <w:rsid w:val="009474D0"/>
    <w:rsid w:val="009479E0"/>
    <w:rsid w:val="009507AC"/>
    <w:rsid w:val="00954D7C"/>
    <w:rsid w:val="00956EA1"/>
    <w:rsid w:val="00961275"/>
    <w:rsid w:val="00964116"/>
    <w:rsid w:val="00964195"/>
    <w:rsid w:val="00967D34"/>
    <w:rsid w:val="0097035F"/>
    <w:rsid w:val="009711D1"/>
    <w:rsid w:val="009735EA"/>
    <w:rsid w:val="00975C5F"/>
    <w:rsid w:val="00996E89"/>
    <w:rsid w:val="009A05DC"/>
    <w:rsid w:val="009D31E9"/>
    <w:rsid w:val="009D411D"/>
    <w:rsid w:val="009D4D38"/>
    <w:rsid w:val="009D50F1"/>
    <w:rsid w:val="009D6130"/>
    <w:rsid w:val="009E12EC"/>
    <w:rsid w:val="009E1B3F"/>
    <w:rsid w:val="009E24EF"/>
    <w:rsid w:val="009E2F1C"/>
    <w:rsid w:val="00A00C9D"/>
    <w:rsid w:val="00A00CE4"/>
    <w:rsid w:val="00A157B5"/>
    <w:rsid w:val="00A224AA"/>
    <w:rsid w:val="00A27CA9"/>
    <w:rsid w:val="00A27FB9"/>
    <w:rsid w:val="00A3020F"/>
    <w:rsid w:val="00A3536B"/>
    <w:rsid w:val="00A47A84"/>
    <w:rsid w:val="00A537DC"/>
    <w:rsid w:val="00A541C6"/>
    <w:rsid w:val="00A57014"/>
    <w:rsid w:val="00A61661"/>
    <w:rsid w:val="00A652F9"/>
    <w:rsid w:val="00A70259"/>
    <w:rsid w:val="00A71155"/>
    <w:rsid w:val="00A9194B"/>
    <w:rsid w:val="00A92EF2"/>
    <w:rsid w:val="00A94AF8"/>
    <w:rsid w:val="00AA0A55"/>
    <w:rsid w:val="00AA4012"/>
    <w:rsid w:val="00AA6B2D"/>
    <w:rsid w:val="00AB1EA0"/>
    <w:rsid w:val="00AC061D"/>
    <w:rsid w:val="00AC6DFB"/>
    <w:rsid w:val="00AD2EC5"/>
    <w:rsid w:val="00AD430C"/>
    <w:rsid w:val="00AD6E0C"/>
    <w:rsid w:val="00AD736D"/>
    <w:rsid w:val="00AE13A1"/>
    <w:rsid w:val="00AE3F94"/>
    <w:rsid w:val="00AE641E"/>
    <w:rsid w:val="00AF058C"/>
    <w:rsid w:val="00AF1F8B"/>
    <w:rsid w:val="00AF5955"/>
    <w:rsid w:val="00AF6B2F"/>
    <w:rsid w:val="00AF70F4"/>
    <w:rsid w:val="00B01893"/>
    <w:rsid w:val="00B02FE1"/>
    <w:rsid w:val="00B0368E"/>
    <w:rsid w:val="00B07A8B"/>
    <w:rsid w:val="00B100DD"/>
    <w:rsid w:val="00B10891"/>
    <w:rsid w:val="00B14B8F"/>
    <w:rsid w:val="00B14BA4"/>
    <w:rsid w:val="00B155C8"/>
    <w:rsid w:val="00B1581C"/>
    <w:rsid w:val="00B20A51"/>
    <w:rsid w:val="00B227D6"/>
    <w:rsid w:val="00B253E6"/>
    <w:rsid w:val="00B2608C"/>
    <w:rsid w:val="00B33ABD"/>
    <w:rsid w:val="00B3547F"/>
    <w:rsid w:val="00B363AE"/>
    <w:rsid w:val="00B37384"/>
    <w:rsid w:val="00B41C1C"/>
    <w:rsid w:val="00B502CA"/>
    <w:rsid w:val="00B6168B"/>
    <w:rsid w:val="00B61F9C"/>
    <w:rsid w:val="00B6275A"/>
    <w:rsid w:val="00B66099"/>
    <w:rsid w:val="00B66D96"/>
    <w:rsid w:val="00B767EA"/>
    <w:rsid w:val="00B771E4"/>
    <w:rsid w:val="00B81492"/>
    <w:rsid w:val="00B95447"/>
    <w:rsid w:val="00BA2F2C"/>
    <w:rsid w:val="00BA42E9"/>
    <w:rsid w:val="00BA4B8D"/>
    <w:rsid w:val="00BA56E0"/>
    <w:rsid w:val="00BB16B6"/>
    <w:rsid w:val="00BB5B00"/>
    <w:rsid w:val="00BB5B8B"/>
    <w:rsid w:val="00BC19FC"/>
    <w:rsid w:val="00BC36B7"/>
    <w:rsid w:val="00BC4D17"/>
    <w:rsid w:val="00BC59E7"/>
    <w:rsid w:val="00BC760B"/>
    <w:rsid w:val="00BC7698"/>
    <w:rsid w:val="00BC79B7"/>
    <w:rsid w:val="00BD0971"/>
    <w:rsid w:val="00BD3E02"/>
    <w:rsid w:val="00BD61F7"/>
    <w:rsid w:val="00BE0D7D"/>
    <w:rsid w:val="00BE407F"/>
    <w:rsid w:val="00BE469C"/>
    <w:rsid w:val="00BE6315"/>
    <w:rsid w:val="00BE7939"/>
    <w:rsid w:val="00BF1728"/>
    <w:rsid w:val="00BF5494"/>
    <w:rsid w:val="00C03250"/>
    <w:rsid w:val="00C14968"/>
    <w:rsid w:val="00C14A7D"/>
    <w:rsid w:val="00C15A78"/>
    <w:rsid w:val="00C1634D"/>
    <w:rsid w:val="00C2259E"/>
    <w:rsid w:val="00C239CC"/>
    <w:rsid w:val="00C24879"/>
    <w:rsid w:val="00C27E62"/>
    <w:rsid w:val="00C31151"/>
    <w:rsid w:val="00C348D9"/>
    <w:rsid w:val="00C36AB8"/>
    <w:rsid w:val="00C37475"/>
    <w:rsid w:val="00C41D7F"/>
    <w:rsid w:val="00C4338E"/>
    <w:rsid w:val="00C46B89"/>
    <w:rsid w:val="00C46CDB"/>
    <w:rsid w:val="00C4709F"/>
    <w:rsid w:val="00C50BCF"/>
    <w:rsid w:val="00C5619D"/>
    <w:rsid w:val="00C561CE"/>
    <w:rsid w:val="00C60B36"/>
    <w:rsid w:val="00C60F2B"/>
    <w:rsid w:val="00C62D2A"/>
    <w:rsid w:val="00C666C6"/>
    <w:rsid w:val="00C710EE"/>
    <w:rsid w:val="00C7215A"/>
    <w:rsid w:val="00C721F6"/>
    <w:rsid w:val="00C73E3F"/>
    <w:rsid w:val="00C74E99"/>
    <w:rsid w:val="00C75DAD"/>
    <w:rsid w:val="00C76BA6"/>
    <w:rsid w:val="00C76BC1"/>
    <w:rsid w:val="00C815EC"/>
    <w:rsid w:val="00C82F3C"/>
    <w:rsid w:val="00C86E30"/>
    <w:rsid w:val="00C879E0"/>
    <w:rsid w:val="00C955C4"/>
    <w:rsid w:val="00C97A7B"/>
    <w:rsid w:val="00CA1772"/>
    <w:rsid w:val="00CA38CD"/>
    <w:rsid w:val="00CA7D78"/>
    <w:rsid w:val="00CB056B"/>
    <w:rsid w:val="00CB5DBB"/>
    <w:rsid w:val="00CB6D7C"/>
    <w:rsid w:val="00CC1AA8"/>
    <w:rsid w:val="00CC3FA8"/>
    <w:rsid w:val="00CC48F5"/>
    <w:rsid w:val="00CC4F8C"/>
    <w:rsid w:val="00CC5BFA"/>
    <w:rsid w:val="00CD0B58"/>
    <w:rsid w:val="00CD3603"/>
    <w:rsid w:val="00CD5149"/>
    <w:rsid w:val="00CE42FA"/>
    <w:rsid w:val="00CE4A30"/>
    <w:rsid w:val="00CE7846"/>
    <w:rsid w:val="00CF056D"/>
    <w:rsid w:val="00CF56BA"/>
    <w:rsid w:val="00CF6F98"/>
    <w:rsid w:val="00CF72EA"/>
    <w:rsid w:val="00CF7ECE"/>
    <w:rsid w:val="00D01BB2"/>
    <w:rsid w:val="00D0375C"/>
    <w:rsid w:val="00D0523C"/>
    <w:rsid w:val="00D07862"/>
    <w:rsid w:val="00D13CF0"/>
    <w:rsid w:val="00D14479"/>
    <w:rsid w:val="00D178F5"/>
    <w:rsid w:val="00D179E0"/>
    <w:rsid w:val="00D2174C"/>
    <w:rsid w:val="00D22BB1"/>
    <w:rsid w:val="00D237F4"/>
    <w:rsid w:val="00D27A3A"/>
    <w:rsid w:val="00D27CC4"/>
    <w:rsid w:val="00D32DC1"/>
    <w:rsid w:val="00D40FBB"/>
    <w:rsid w:val="00D4126C"/>
    <w:rsid w:val="00D456FB"/>
    <w:rsid w:val="00D509A3"/>
    <w:rsid w:val="00D53361"/>
    <w:rsid w:val="00D5388D"/>
    <w:rsid w:val="00D54CBD"/>
    <w:rsid w:val="00D5727E"/>
    <w:rsid w:val="00D6120B"/>
    <w:rsid w:val="00D620C1"/>
    <w:rsid w:val="00D63DDF"/>
    <w:rsid w:val="00D6679E"/>
    <w:rsid w:val="00D77F20"/>
    <w:rsid w:val="00D82EA7"/>
    <w:rsid w:val="00D8366E"/>
    <w:rsid w:val="00D84586"/>
    <w:rsid w:val="00D86EB9"/>
    <w:rsid w:val="00D8711F"/>
    <w:rsid w:val="00D908C4"/>
    <w:rsid w:val="00D972CF"/>
    <w:rsid w:val="00DA00AE"/>
    <w:rsid w:val="00DA0AF7"/>
    <w:rsid w:val="00DA1CE3"/>
    <w:rsid w:val="00DB00D2"/>
    <w:rsid w:val="00DB716A"/>
    <w:rsid w:val="00DC318C"/>
    <w:rsid w:val="00DC42D6"/>
    <w:rsid w:val="00DC4C68"/>
    <w:rsid w:val="00DD2CAF"/>
    <w:rsid w:val="00DD5480"/>
    <w:rsid w:val="00DE6AED"/>
    <w:rsid w:val="00E03F0D"/>
    <w:rsid w:val="00E03FBC"/>
    <w:rsid w:val="00E069DC"/>
    <w:rsid w:val="00E115D1"/>
    <w:rsid w:val="00E17166"/>
    <w:rsid w:val="00E20BBA"/>
    <w:rsid w:val="00E213EC"/>
    <w:rsid w:val="00E2450B"/>
    <w:rsid w:val="00E25435"/>
    <w:rsid w:val="00E270FD"/>
    <w:rsid w:val="00E306A1"/>
    <w:rsid w:val="00E36234"/>
    <w:rsid w:val="00E4202B"/>
    <w:rsid w:val="00E42EB3"/>
    <w:rsid w:val="00E44562"/>
    <w:rsid w:val="00E52A88"/>
    <w:rsid w:val="00E53161"/>
    <w:rsid w:val="00E569CC"/>
    <w:rsid w:val="00E56FD9"/>
    <w:rsid w:val="00E64A39"/>
    <w:rsid w:val="00E64F89"/>
    <w:rsid w:val="00E65A34"/>
    <w:rsid w:val="00E6630F"/>
    <w:rsid w:val="00E66648"/>
    <w:rsid w:val="00E72DF7"/>
    <w:rsid w:val="00E72F77"/>
    <w:rsid w:val="00E7432D"/>
    <w:rsid w:val="00E74C16"/>
    <w:rsid w:val="00E77637"/>
    <w:rsid w:val="00E8511F"/>
    <w:rsid w:val="00E85B7D"/>
    <w:rsid w:val="00E87775"/>
    <w:rsid w:val="00E93383"/>
    <w:rsid w:val="00E93F70"/>
    <w:rsid w:val="00EA086D"/>
    <w:rsid w:val="00EA650A"/>
    <w:rsid w:val="00EA66DE"/>
    <w:rsid w:val="00EC10E8"/>
    <w:rsid w:val="00EC32EC"/>
    <w:rsid w:val="00EC440C"/>
    <w:rsid w:val="00EC708F"/>
    <w:rsid w:val="00EC73C4"/>
    <w:rsid w:val="00EC7DB4"/>
    <w:rsid w:val="00ED21E4"/>
    <w:rsid w:val="00ED23EF"/>
    <w:rsid w:val="00ED2956"/>
    <w:rsid w:val="00ED6186"/>
    <w:rsid w:val="00ED6B09"/>
    <w:rsid w:val="00EE3F87"/>
    <w:rsid w:val="00EE4E4B"/>
    <w:rsid w:val="00EE5A2E"/>
    <w:rsid w:val="00EE6944"/>
    <w:rsid w:val="00EF0FDF"/>
    <w:rsid w:val="00EF19FB"/>
    <w:rsid w:val="00EF7BC1"/>
    <w:rsid w:val="00F0119C"/>
    <w:rsid w:val="00F03360"/>
    <w:rsid w:val="00F03C6B"/>
    <w:rsid w:val="00F10BA9"/>
    <w:rsid w:val="00F11A60"/>
    <w:rsid w:val="00F126CC"/>
    <w:rsid w:val="00F15755"/>
    <w:rsid w:val="00F31702"/>
    <w:rsid w:val="00F334B8"/>
    <w:rsid w:val="00F42F08"/>
    <w:rsid w:val="00F461B0"/>
    <w:rsid w:val="00F477F4"/>
    <w:rsid w:val="00F52BCD"/>
    <w:rsid w:val="00F538E5"/>
    <w:rsid w:val="00F53E61"/>
    <w:rsid w:val="00F53E6F"/>
    <w:rsid w:val="00F57CBE"/>
    <w:rsid w:val="00F6064B"/>
    <w:rsid w:val="00F6179F"/>
    <w:rsid w:val="00F61C4D"/>
    <w:rsid w:val="00F66EA8"/>
    <w:rsid w:val="00F741D1"/>
    <w:rsid w:val="00F7420A"/>
    <w:rsid w:val="00F765FE"/>
    <w:rsid w:val="00F83C97"/>
    <w:rsid w:val="00F85ADE"/>
    <w:rsid w:val="00F92E11"/>
    <w:rsid w:val="00F944D2"/>
    <w:rsid w:val="00FA1445"/>
    <w:rsid w:val="00FA4144"/>
    <w:rsid w:val="00FB0B0A"/>
    <w:rsid w:val="00FB2071"/>
    <w:rsid w:val="00FB50AD"/>
    <w:rsid w:val="00FC0B21"/>
    <w:rsid w:val="00FC119D"/>
    <w:rsid w:val="00FC1D8C"/>
    <w:rsid w:val="00FC3984"/>
    <w:rsid w:val="00FC52D3"/>
    <w:rsid w:val="00FC6051"/>
    <w:rsid w:val="00FC6591"/>
    <w:rsid w:val="00FC6CF4"/>
    <w:rsid w:val="00FC754B"/>
    <w:rsid w:val="00FD03DA"/>
    <w:rsid w:val="00FD1B34"/>
    <w:rsid w:val="00FD38BB"/>
    <w:rsid w:val="00FD4A40"/>
    <w:rsid w:val="00FD563C"/>
    <w:rsid w:val="00FE221D"/>
    <w:rsid w:val="00FE3E64"/>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0571">
      <w:bodyDiv w:val="1"/>
      <w:marLeft w:val="0"/>
      <w:marRight w:val="0"/>
      <w:marTop w:val="0"/>
      <w:marBottom w:val="0"/>
      <w:divBdr>
        <w:top w:val="none" w:sz="0" w:space="0" w:color="auto"/>
        <w:left w:val="none" w:sz="0" w:space="0" w:color="auto"/>
        <w:bottom w:val="none" w:sz="0" w:space="0" w:color="auto"/>
        <w:right w:val="none" w:sz="0" w:space="0" w:color="auto"/>
      </w:divBdr>
      <w:divsChild>
        <w:div w:id="1368023101">
          <w:marLeft w:val="0"/>
          <w:marRight w:val="0"/>
          <w:marTop w:val="0"/>
          <w:marBottom w:val="0"/>
          <w:divBdr>
            <w:top w:val="none" w:sz="0" w:space="0" w:color="auto"/>
            <w:left w:val="none" w:sz="0" w:space="0" w:color="auto"/>
            <w:bottom w:val="none" w:sz="0" w:space="0" w:color="auto"/>
            <w:right w:val="none" w:sz="0" w:space="0" w:color="auto"/>
          </w:divBdr>
          <w:divsChild>
            <w:div w:id="137724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288359689">
      <w:bodyDiv w:val="1"/>
      <w:marLeft w:val="0"/>
      <w:marRight w:val="0"/>
      <w:marTop w:val="0"/>
      <w:marBottom w:val="0"/>
      <w:divBdr>
        <w:top w:val="none" w:sz="0" w:space="0" w:color="auto"/>
        <w:left w:val="none" w:sz="0" w:space="0" w:color="auto"/>
        <w:bottom w:val="none" w:sz="0" w:space="0" w:color="auto"/>
        <w:right w:val="none" w:sz="0" w:space="0" w:color="auto"/>
      </w:divBdr>
    </w:div>
    <w:div w:id="583029141">
      <w:bodyDiv w:val="1"/>
      <w:marLeft w:val="0"/>
      <w:marRight w:val="0"/>
      <w:marTop w:val="0"/>
      <w:marBottom w:val="0"/>
      <w:divBdr>
        <w:top w:val="none" w:sz="0" w:space="0" w:color="auto"/>
        <w:left w:val="none" w:sz="0" w:space="0" w:color="auto"/>
        <w:bottom w:val="none" w:sz="0" w:space="0" w:color="auto"/>
        <w:right w:val="none" w:sz="0" w:space="0" w:color="auto"/>
      </w:divBdr>
    </w:div>
    <w:div w:id="697315100">
      <w:bodyDiv w:val="1"/>
      <w:marLeft w:val="0"/>
      <w:marRight w:val="0"/>
      <w:marTop w:val="0"/>
      <w:marBottom w:val="0"/>
      <w:divBdr>
        <w:top w:val="none" w:sz="0" w:space="0" w:color="auto"/>
        <w:left w:val="none" w:sz="0" w:space="0" w:color="auto"/>
        <w:bottom w:val="none" w:sz="0" w:space="0" w:color="auto"/>
        <w:right w:val="none" w:sz="0" w:space="0" w:color="auto"/>
      </w:divBdr>
    </w:div>
    <w:div w:id="915670256">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934440649">
      <w:bodyDiv w:val="1"/>
      <w:marLeft w:val="0"/>
      <w:marRight w:val="0"/>
      <w:marTop w:val="0"/>
      <w:marBottom w:val="0"/>
      <w:divBdr>
        <w:top w:val="none" w:sz="0" w:space="0" w:color="auto"/>
        <w:left w:val="none" w:sz="0" w:space="0" w:color="auto"/>
        <w:bottom w:val="none" w:sz="0" w:space="0" w:color="auto"/>
        <w:right w:val="none" w:sz="0" w:space="0" w:color="auto"/>
      </w:divBdr>
    </w:div>
    <w:div w:id="971446593">
      <w:bodyDiv w:val="1"/>
      <w:marLeft w:val="0"/>
      <w:marRight w:val="0"/>
      <w:marTop w:val="0"/>
      <w:marBottom w:val="0"/>
      <w:divBdr>
        <w:top w:val="none" w:sz="0" w:space="0" w:color="auto"/>
        <w:left w:val="none" w:sz="0" w:space="0" w:color="auto"/>
        <w:bottom w:val="none" w:sz="0" w:space="0" w:color="auto"/>
        <w:right w:val="none" w:sz="0" w:space="0" w:color="auto"/>
      </w:divBdr>
    </w:div>
    <w:div w:id="989938700">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062363415">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08899064">
      <w:bodyDiv w:val="1"/>
      <w:marLeft w:val="0"/>
      <w:marRight w:val="0"/>
      <w:marTop w:val="0"/>
      <w:marBottom w:val="0"/>
      <w:divBdr>
        <w:top w:val="none" w:sz="0" w:space="0" w:color="auto"/>
        <w:left w:val="none" w:sz="0" w:space="0" w:color="auto"/>
        <w:bottom w:val="none" w:sz="0" w:space="0" w:color="auto"/>
        <w:right w:val="none" w:sz="0" w:space="0" w:color="auto"/>
      </w:divBdr>
    </w:div>
    <w:div w:id="1334913348">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554542937">
      <w:bodyDiv w:val="1"/>
      <w:marLeft w:val="0"/>
      <w:marRight w:val="0"/>
      <w:marTop w:val="0"/>
      <w:marBottom w:val="0"/>
      <w:divBdr>
        <w:top w:val="none" w:sz="0" w:space="0" w:color="auto"/>
        <w:left w:val="none" w:sz="0" w:space="0" w:color="auto"/>
        <w:bottom w:val="none" w:sz="0" w:space="0" w:color="auto"/>
        <w:right w:val="none" w:sz="0" w:space="0" w:color="auto"/>
      </w:divBdr>
      <w:divsChild>
        <w:div w:id="1621261557">
          <w:marLeft w:val="0"/>
          <w:marRight w:val="0"/>
          <w:marTop w:val="0"/>
          <w:marBottom w:val="0"/>
          <w:divBdr>
            <w:top w:val="none" w:sz="0" w:space="0" w:color="auto"/>
            <w:left w:val="none" w:sz="0" w:space="0" w:color="auto"/>
            <w:bottom w:val="none" w:sz="0" w:space="0" w:color="auto"/>
            <w:right w:val="none" w:sz="0" w:space="0" w:color="auto"/>
          </w:divBdr>
          <w:divsChild>
            <w:div w:id="20952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17872">
      <w:bodyDiv w:val="1"/>
      <w:marLeft w:val="0"/>
      <w:marRight w:val="0"/>
      <w:marTop w:val="0"/>
      <w:marBottom w:val="0"/>
      <w:divBdr>
        <w:top w:val="none" w:sz="0" w:space="0" w:color="auto"/>
        <w:left w:val="none" w:sz="0" w:space="0" w:color="auto"/>
        <w:bottom w:val="none" w:sz="0" w:space="0" w:color="auto"/>
        <w:right w:val="none" w:sz="0" w:space="0" w:color="auto"/>
      </w:divBdr>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1902133245">
      <w:bodyDiv w:val="1"/>
      <w:marLeft w:val="0"/>
      <w:marRight w:val="0"/>
      <w:marTop w:val="0"/>
      <w:marBottom w:val="0"/>
      <w:divBdr>
        <w:top w:val="none" w:sz="0" w:space="0" w:color="auto"/>
        <w:left w:val="none" w:sz="0" w:space="0" w:color="auto"/>
        <w:bottom w:val="none" w:sz="0" w:space="0" w:color="auto"/>
        <w:right w:val="none" w:sz="0" w:space="0" w:color="auto"/>
      </w:divBdr>
    </w:div>
    <w:div w:id="1984310037">
      <w:bodyDiv w:val="1"/>
      <w:marLeft w:val="0"/>
      <w:marRight w:val="0"/>
      <w:marTop w:val="0"/>
      <w:marBottom w:val="0"/>
      <w:divBdr>
        <w:top w:val="none" w:sz="0" w:space="0" w:color="auto"/>
        <w:left w:val="none" w:sz="0" w:space="0" w:color="auto"/>
        <w:bottom w:val="none" w:sz="0" w:space="0" w:color="auto"/>
        <w:right w:val="none" w:sz="0" w:space="0" w:color="auto"/>
      </w:divBdr>
    </w:div>
    <w:div w:id="2035308417">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ci.com/index-method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2911</Words>
  <Characters>16014</Characters>
  <Application>Microsoft Office Word</Application>
  <DocSecurity>0</DocSecurity>
  <Lines>133</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Amundi Asset Management</Company>
  <LinksUpToDate>false</LinksUpToDate>
  <CharactersWithSpaces>18888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644</cp:revision>
  <dcterms:created xsi:type="dcterms:W3CDTF">2022-11-23T07:47:00Z</dcterms:created>
  <dcterms:modified xsi:type="dcterms:W3CDTF">2025-05-07T13:43:00Z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